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28074" w14:textId="35F9AAAC" w:rsidR="00DC3D49" w:rsidRDefault="00F82AD9">
      <w:pPr>
        <w:autoSpaceDE w:val="0"/>
        <w:autoSpaceDN w:val="0"/>
        <w:adjustRightInd w:val="0"/>
        <w:spacing w:before="4000" w:after="0" w:line="240" w:lineRule="auto"/>
        <w:rPr>
          <w:rFonts w:ascii="Arial" w:hAnsi="Arial" w:cs="Arial"/>
          <w:b/>
          <w:bCs/>
          <w:color w:val="003366"/>
          <w:kern w:val="0"/>
          <w:sz w:val="48"/>
          <w:szCs w:val="48"/>
        </w:rPr>
      </w:pPr>
      <w:r>
        <w:rPr>
          <w:rFonts w:ascii="Arial" w:hAnsi="Arial"/>
          <w:b/>
          <w:color w:val="003366"/>
          <w:sz w:val="48"/>
        </w:rPr>
        <w:t>AMUNDI STOXX EUROPE 50 UCITS ETF</w:t>
      </w:r>
    </w:p>
    <w:p w14:paraId="5916D4B4" w14:textId="77777777" w:rsidR="00DC3D49" w:rsidRDefault="00DC3D49">
      <w:pPr>
        <w:autoSpaceDE w:val="0"/>
        <w:autoSpaceDN w:val="0"/>
        <w:adjustRightInd w:val="0"/>
        <w:spacing w:before="1200" w:after="0" w:line="240" w:lineRule="auto"/>
        <w:rPr>
          <w:rFonts w:ascii="Arial" w:hAnsi="Arial" w:cs="Arial"/>
          <w:b/>
          <w:bCs/>
          <w:i/>
          <w:iCs/>
          <w:color w:val="003366"/>
          <w:kern w:val="0"/>
          <w:sz w:val="48"/>
          <w:szCs w:val="48"/>
        </w:rPr>
      </w:pPr>
      <w:r>
        <w:rPr>
          <w:rFonts w:ascii="Arial" w:hAnsi="Arial"/>
          <w:b/>
          <w:i/>
          <w:color w:val="003366"/>
          <w:sz w:val="48"/>
        </w:rPr>
        <w:t>Folleto y reglamento</w:t>
      </w:r>
    </w:p>
    <w:p w14:paraId="5BEAF32D" w14:textId="77777777" w:rsidR="00DC3D49" w:rsidRDefault="00DC3D49">
      <w:pPr>
        <w:widowControl w:val="0"/>
        <w:autoSpaceDE w:val="0"/>
        <w:autoSpaceDN w:val="0"/>
        <w:adjustRightInd w:val="0"/>
        <w:spacing w:after="0" w:line="240" w:lineRule="auto"/>
        <w:rPr>
          <w:rFonts w:ascii="Arial" w:hAnsi="Arial" w:cs="Arial"/>
          <w:b/>
          <w:bCs/>
          <w:i/>
          <w:iCs/>
          <w:color w:val="003366"/>
          <w:kern w:val="0"/>
          <w:sz w:val="48"/>
          <w:szCs w:val="48"/>
        </w:rPr>
        <w:sectPr w:rsidR="00DC3D49">
          <w:headerReference w:type="even" r:id="rId7"/>
          <w:headerReference w:type="default" r:id="rId8"/>
          <w:footerReference w:type="even" r:id="rId9"/>
          <w:footerReference w:type="default" r:id="rId10"/>
          <w:headerReference w:type="first" r:id="rId11"/>
          <w:footerReference w:type="first" r:id="rId12"/>
          <w:pgSz w:w="11905" w:h="16837"/>
          <w:pgMar w:top="1000" w:right="1000" w:bottom="1000" w:left="1000" w:header="400" w:footer="400" w:gutter="0"/>
          <w:cols w:space="720"/>
          <w:noEndnote/>
          <w:titlePg/>
        </w:sectPr>
      </w:pPr>
    </w:p>
    <w:p w14:paraId="5F7FF3DE" w14:textId="77777777" w:rsidR="00DC3D49" w:rsidRDefault="00DC3D49">
      <w:pPr>
        <w:shd w:val="clear" w:color="auto" w:fill="AFAEAE"/>
        <w:autoSpaceDE w:val="0"/>
        <w:autoSpaceDN w:val="0"/>
        <w:adjustRightInd w:val="0"/>
        <w:spacing w:after="0" w:line="240" w:lineRule="auto"/>
        <w:jc w:val="center"/>
        <w:rPr>
          <w:rFonts w:ascii="Arial" w:hAnsi="Arial" w:cs="Arial"/>
          <w:b/>
          <w:bCs/>
          <w:color w:val="000000"/>
          <w:kern w:val="0"/>
          <w:sz w:val="36"/>
          <w:szCs w:val="36"/>
        </w:rPr>
      </w:pPr>
      <w:r>
        <w:rPr>
          <w:rFonts w:ascii="Arial" w:hAnsi="Arial"/>
          <w:b/>
          <w:color w:val="000000"/>
          <w:sz w:val="36"/>
        </w:rPr>
        <w:lastRenderedPageBreak/>
        <w:t>FOLLETO</w:t>
      </w:r>
    </w:p>
    <w:p w14:paraId="4ABB626A" w14:textId="77777777" w:rsidR="00DC3D49" w:rsidRDefault="00DC3D49">
      <w:pPr>
        <w:pBdr>
          <w:top w:val="single" w:sz="8" w:space="5" w:color="000000"/>
          <w:left w:val="single" w:sz="8" w:space="5" w:color="000000"/>
          <w:bottom w:val="single" w:sz="8" w:space="5" w:color="000000"/>
          <w:right w:val="single" w:sz="8" w:space="5" w:color="000000"/>
        </w:pBdr>
        <w:autoSpaceDE w:val="0"/>
        <w:autoSpaceDN w:val="0"/>
        <w:adjustRightInd w:val="0"/>
        <w:spacing w:before="300" w:after="0" w:line="240" w:lineRule="auto"/>
        <w:ind w:left="5000"/>
        <w:jc w:val="both"/>
        <w:rPr>
          <w:rFonts w:ascii="Arial" w:hAnsi="Arial" w:cs="Arial"/>
          <w:color w:val="000000"/>
          <w:kern w:val="0"/>
          <w:sz w:val="22"/>
          <w:szCs w:val="22"/>
        </w:rPr>
      </w:pPr>
      <w:r>
        <w:rPr>
          <w:rFonts w:ascii="Arial" w:hAnsi="Arial"/>
          <w:color w:val="000000"/>
          <w:sz w:val="22"/>
        </w:rPr>
        <w:t>OICVM conforme a la Directiva europea 2009/65/CE</w:t>
      </w:r>
    </w:p>
    <w:p w14:paraId="11BB6363" w14:textId="77777777" w:rsidR="00DC3D49" w:rsidRDefault="00DC3D49">
      <w:pPr>
        <w:autoSpaceDE w:val="0"/>
        <w:autoSpaceDN w:val="0"/>
        <w:adjustRightInd w:val="0"/>
        <w:spacing w:before="300" w:after="300" w:line="240" w:lineRule="auto"/>
        <w:jc w:val="center"/>
        <w:rPr>
          <w:rFonts w:ascii="Arial" w:hAnsi="Arial" w:cs="Arial"/>
          <w:b/>
          <w:bCs/>
          <w:color w:val="000000"/>
          <w:kern w:val="0"/>
          <w:u w:val="single"/>
        </w:rPr>
      </w:pPr>
      <w:r>
        <w:rPr>
          <w:rFonts w:ascii="Arial" w:hAnsi="Arial"/>
          <w:b/>
          <w:color w:val="000000"/>
          <w:u w:val="single"/>
        </w:rPr>
        <w:t>I. CARACTERÍSTICAS GENERALES</w:t>
      </w:r>
    </w:p>
    <w:p w14:paraId="5CE08F80" w14:textId="77777777" w:rsidR="00DC3D49" w:rsidRDefault="00DC3D49">
      <w:pPr>
        <w:autoSpaceDE w:val="0"/>
        <w:autoSpaceDN w:val="0"/>
        <w:adjustRightInd w:val="0"/>
        <w:spacing w:before="300" w:after="300" w:line="240" w:lineRule="auto"/>
        <w:jc w:val="center"/>
        <w:rPr>
          <w:rFonts w:ascii="Arial" w:hAnsi="Arial" w:cs="Arial"/>
          <w:color w:val="000000"/>
          <w:kern w:val="0"/>
          <w:sz w:val="2"/>
          <w:szCs w:val="2"/>
        </w:rPr>
      </w:pPr>
    </w:p>
    <w:tbl>
      <w:tblPr>
        <w:tblW w:w="0" w:type="auto"/>
        <w:tblInd w:w="100" w:type="dxa"/>
        <w:tblLayout w:type="fixed"/>
        <w:tblCellMar>
          <w:left w:w="100" w:type="dxa"/>
          <w:right w:w="100" w:type="dxa"/>
        </w:tblCellMar>
        <w:tblLook w:val="0000" w:firstRow="0" w:lastRow="0" w:firstColumn="0" w:lastColumn="0" w:noHBand="0" w:noVBand="0"/>
      </w:tblPr>
      <w:tblGrid>
        <w:gridCol w:w="4499"/>
        <w:gridCol w:w="4500"/>
      </w:tblGrid>
      <w:tr w:rsidR="00DC3D49" w14:paraId="5A33BB1E" w14:textId="77777777">
        <w:tc>
          <w:tcPr>
            <w:tcW w:w="4499" w:type="dxa"/>
            <w:tcBorders>
              <w:top w:val="nil"/>
              <w:left w:val="nil"/>
              <w:bottom w:val="nil"/>
              <w:right w:val="nil"/>
            </w:tcBorders>
          </w:tcPr>
          <w:p w14:paraId="2DEE06BB" w14:textId="33C38C91" w:rsidR="00DC3D49" w:rsidRDefault="00C837FF">
            <w:pPr>
              <w:autoSpaceDE w:val="0"/>
              <w:autoSpaceDN w:val="0"/>
              <w:adjustRightInd w:val="0"/>
              <w:spacing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1D883FC" wp14:editId="7143092A">
                  <wp:extent cx="127000" cy="127000"/>
                  <wp:effectExtent l="0" t="0" r="0" b="0"/>
                  <wp:docPr id="1"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Denominación:</w:t>
            </w:r>
          </w:p>
          <w:p w14:paraId="1F84F69F"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tc>
        <w:tc>
          <w:tcPr>
            <w:tcW w:w="4500" w:type="dxa"/>
            <w:tcBorders>
              <w:top w:val="nil"/>
              <w:left w:val="nil"/>
              <w:bottom w:val="nil"/>
              <w:right w:val="nil"/>
            </w:tcBorders>
          </w:tcPr>
          <w:p w14:paraId="4AF5FE90" w14:textId="41C0DBC6" w:rsidR="00DC3D49" w:rsidRDefault="00F82AD9">
            <w:pPr>
              <w:autoSpaceDE w:val="0"/>
              <w:autoSpaceDN w:val="0"/>
              <w:adjustRightInd w:val="0"/>
              <w:spacing w:after="0" w:line="240" w:lineRule="auto"/>
              <w:jc w:val="both"/>
              <w:rPr>
                <w:rFonts w:ascii="Arial" w:hAnsi="Arial" w:cs="Arial"/>
                <w:color w:val="000000"/>
                <w:kern w:val="0"/>
                <w:sz w:val="20"/>
                <w:szCs w:val="20"/>
              </w:rPr>
            </w:pPr>
            <w:r>
              <w:rPr>
                <w:rFonts w:ascii="Arial" w:hAnsi="Arial"/>
                <w:b/>
                <w:color w:val="000000"/>
                <w:sz w:val="20"/>
              </w:rPr>
              <w:t>AMUNDI STOXX EUROPE 50 UCITS ETF</w:t>
            </w:r>
            <w:r>
              <w:rPr>
                <w:rFonts w:ascii="Arial" w:hAnsi="Arial"/>
                <w:color w:val="000000"/>
                <w:sz w:val="20"/>
              </w:rPr>
              <w:t xml:space="preserve"> (el «Fondo»)</w:t>
            </w:r>
          </w:p>
        </w:tc>
      </w:tr>
      <w:tr w:rsidR="00DC3D49" w14:paraId="3AD450DB" w14:textId="77777777">
        <w:tc>
          <w:tcPr>
            <w:tcW w:w="4499" w:type="dxa"/>
            <w:tcBorders>
              <w:top w:val="nil"/>
              <w:left w:val="nil"/>
              <w:bottom w:val="nil"/>
              <w:right w:val="nil"/>
            </w:tcBorders>
          </w:tcPr>
          <w:p w14:paraId="0D9E61D1" w14:textId="0CDD0590" w:rsidR="00DC3D49" w:rsidRDefault="00C837FF">
            <w:pPr>
              <w:autoSpaceDE w:val="0"/>
              <w:autoSpaceDN w:val="0"/>
              <w:adjustRightInd w:val="0"/>
              <w:spacing w:after="0" w:line="240" w:lineRule="auto"/>
              <w:jc w:val="both"/>
              <w:rPr>
                <w:rFonts w:ascii="Arial" w:hAnsi="Arial" w:cs="Arial"/>
                <w:b/>
                <w:bCs/>
                <w:color w:val="000000"/>
                <w:kern w:val="0"/>
                <w:sz w:val="20"/>
                <w:szCs w:val="20"/>
              </w:rPr>
            </w:pPr>
            <w:r>
              <w:rPr>
                <w:rFonts w:ascii="Arial" w:hAnsi="Arial"/>
                <w:noProof/>
              </w:rPr>
              <w:drawing>
                <wp:inline distT="0" distB="0" distL="0" distR="0" wp14:anchorId="3A4C1717" wp14:editId="48DACC50">
                  <wp:extent cx="127000" cy="127000"/>
                  <wp:effectExtent l="0" t="0" r="0" b="0"/>
                  <wp:docPr id="2"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Forma jurídica del OICVM y Estado miembro:</w:t>
            </w:r>
          </w:p>
          <w:p w14:paraId="101B4254" w14:textId="77777777" w:rsidR="00DC3D49" w:rsidRDefault="00DC3D49">
            <w:pPr>
              <w:autoSpaceDE w:val="0"/>
              <w:autoSpaceDN w:val="0"/>
              <w:adjustRightInd w:val="0"/>
              <w:spacing w:after="0" w:line="240" w:lineRule="auto"/>
              <w:jc w:val="both"/>
              <w:rPr>
                <w:rFonts w:ascii="Arial" w:hAnsi="Arial" w:cs="Arial"/>
                <w:b/>
                <w:bCs/>
                <w:color w:val="000000"/>
                <w:kern w:val="0"/>
                <w:sz w:val="20"/>
                <w:szCs w:val="20"/>
              </w:rPr>
            </w:pPr>
          </w:p>
        </w:tc>
        <w:tc>
          <w:tcPr>
            <w:tcW w:w="4500" w:type="dxa"/>
            <w:tcBorders>
              <w:top w:val="nil"/>
              <w:left w:val="nil"/>
              <w:bottom w:val="nil"/>
              <w:right w:val="nil"/>
            </w:tcBorders>
          </w:tcPr>
          <w:p w14:paraId="00CC5B3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Fondo de inversión de derecho (FCP) francés</w:t>
            </w:r>
          </w:p>
        </w:tc>
      </w:tr>
      <w:tr w:rsidR="00DC3D49" w14:paraId="64F69D4A" w14:textId="77777777">
        <w:tc>
          <w:tcPr>
            <w:tcW w:w="4499" w:type="dxa"/>
            <w:tcBorders>
              <w:top w:val="nil"/>
              <w:left w:val="nil"/>
              <w:bottom w:val="nil"/>
              <w:right w:val="nil"/>
            </w:tcBorders>
          </w:tcPr>
          <w:p w14:paraId="7E2EAF68" w14:textId="572F87DF" w:rsidR="00DC3D49" w:rsidRDefault="00C837FF">
            <w:pPr>
              <w:autoSpaceDE w:val="0"/>
              <w:autoSpaceDN w:val="0"/>
              <w:adjustRightInd w:val="0"/>
              <w:spacing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41E9E35" wp14:editId="2D595570">
                  <wp:extent cx="127000" cy="127000"/>
                  <wp:effectExtent l="0" t="0" r="0" b="0"/>
                  <wp:docPr id="3"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Fecha de creación y vigencia prevista:</w:t>
            </w:r>
          </w:p>
          <w:p w14:paraId="600C29E2"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tc>
        <w:tc>
          <w:tcPr>
            <w:tcW w:w="4500" w:type="dxa"/>
            <w:tcBorders>
              <w:top w:val="nil"/>
              <w:left w:val="nil"/>
              <w:bottom w:val="nil"/>
              <w:right w:val="nil"/>
            </w:tcBorders>
          </w:tcPr>
          <w:p w14:paraId="4DAF9BB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Fondo autorizado por la Autoridad de Mercados Financieros el 20 de agosto 2009 y creado el 22 de septiembre de 2009 por una duración prevista de 99 años. </w:t>
            </w:r>
          </w:p>
        </w:tc>
      </w:tr>
    </w:tbl>
    <w:p w14:paraId="7F15910F" w14:textId="77A411CA" w:rsidR="00DC3D49" w:rsidRDefault="00C837FF" w:rsidP="00857814">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5A80A5A" wp14:editId="4B14493B">
            <wp:extent cx="127000" cy="127000"/>
            <wp:effectExtent l="0" t="0" r="0" b="0"/>
            <wp:docPr id="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Resumen de la oferta de gestión:</w:t>
      </w:r>
    </w:p>
    <w:p w14:paraId="796AF08B" w14:textId="77777777" w:rsidR="00DC3D49" w:rsidRDefault="00DC3D49">
      <w:pPr>
        <w:autoSpaceDE w:val="0"/>
        <w:autoSpaceDN w:val="0"/>
        <w:adjustRightInd w:val="0"/>
        <w:spacing w:after="200" w:line="240" w:lineRule="auto"/>
        <w:ind w:left="300"/>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1120"/>
        <w:gridCol w:w="1160"/>
        <w:gridCol w:w="1080"/>
        <w:gridCol w:w="1120"/>
        <w:gridCol w:w="1120"/>
        <w:gridCol w:w="1120"/>
        <w:gridCol w:w="1120"/>
        <w:gridCol w:w="1060"/>
      </w:tblGrid>
      <w:tr w:rsidR="00DC3D49" w14:paraId="5A78F12B" w14:textId="77777777">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9B0DB1"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color w:val="000000"/>
                <w:sz w:val="14"/>
              </w:rPr>
              <w:t xml:space="preserve"> </w:t>
            </w:r>
            <w:r>
              <w:rPr>
                <w:rFonts w:ascii="Arial" w:hAnsi="Arial"/>
                <w:b/>
                <w:color w:val="000000"/>
                <w:sz w:val="14"/>
              </w:rPr>
              <w:t>Código ISIN</w:t>
            </w:r>
          </w:p>
        </w:tc>
        <w:tc>
          <w:tcPr>
            <w:tcW w:w="11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5690941"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Asignación de las cuantías a distribuir</w:t>
            </w:r>
          </w:p>
          <w:p w14:paraId="3994E72B"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20752D52"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0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586E51"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Divisa de denominación</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D8CF6DD"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Periodicidad del cálculo del valor liquidativo</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E7432A"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 xml:space="preserve">Valor liquidativo de origen </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089C04"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Suscripción inicial mínima</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5625A8"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Suscripción posterior mínima</w:t>
            </w:r>
          </w:p>
        </w:tc>
        <w:tc>
          <w:tcPr>
            <w:tcW w:w="10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EEFA6ED"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Suscriptores</w:t>
            </w:r>
          </w:p>
          <w:p w14:paraId="0AE3A68C"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a los que va dirigido</w:t>
            </w:r>
          </w:p>
        </w:tc>
      </w:tr>
      <w:tr w:rsidR="00DC3D49" w14:paraId="4D78AA3C" w14:textId="77777777">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C8F42E"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FR0010790980</w:t>
            </w:r>
          </w:p>
        </w:tc>
        <w:tc>
          <w:tcPr>
            <w:tcW w:w="11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4C88B0"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Capitalización y/o distribución según decisión de la Sociedad Gestora</w:t>
            </w:r>
          </w:p>
          <w:p w14:paraId="3724AB12"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p>
        </w:tc>
        <w:tc>
          <w:tcPr>
            <w:tcW w:w="10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4C39102"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euro</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D9EA76F"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Diariamente</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A8A1F85"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40,62 euros</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FE8151F" w14:textId="77777777" w:rsidR="00DC3D49" w:rsidRDefault="00DC3D49">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primario</w:t>
            </w:r>
          </w:p>
          <w:p w14:paraId="657F1E00" w14:textId="2E3A83FC"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2500 participación(es)</w:t>
            </w:r>
          </w:p>
          <w:p w14:paraId="58AEDABD"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470A5E59" w14:textId="77777777" w:rsidR="00DC3D49" w:rsidRDefault="00DC3D49">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secundario</w:t>
            </w:r>
          </w:p>
          <w:p w14:paraId="73D2666D"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1 participación(es)</w:t>
            </w:r>
          </w:p>
        </w:tc>
        <w:tc>
          <w:tcPr>
            <w:tcW w:w="11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B06B97" w14:textId="77777777" w:rsidR="00DC3D49" w:rsidRDefault="00DC3D49">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primario</w:t>
            </w:r>
          </w:p>
          <w:p w14:paraId="301C73C5"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1 participación(es)</w:t>
            </w:r>
          </w:p>
          <w:p w14:paraId="4E92265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57D55595" w14:textId="77777777" w:rsidR="00DC3D49" w:rsidRDefault="00DC3D49">
            <w:pPr>
              <w:autoSpaceDE w:val="0"/>
              <w:autoSpaceDN w:val="0"/>
              <w:adjustRightInd w:val="0"/>
              <w:spacing w:after="0" w:line="240" w:lineRule="auto"/>
              <w:jc w:val="center"/>
              <w:rPr>
                <w:rFonts w:ascii="Arial" w:hAnsi="Arial" w:cs="Arial"/>
                <w:color w:val="000000"/>
                <w:kern w:val="0"/>
                <w:sz w:val="14"/>
                <w:szCs w:val="14"/>
                <w:u w:val="single"/>
              </w:rPr>
            </w:pPr>
            <w:r>
              <w:rPr>
                <w:rFonts w:ascii="Arial" w:hAnsi="Arial"/>
                <w:color w:val="000000"/>
                <w:sz w:val="14"/>
                <w:u w:val="single"/>
              </w:rPr>
              <w:t>Mercado secundario</w:t>
            </w:r>
          </w:p>
          <w:p w14:paraId="2E4112A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1 participación(es)</w:t>
            </w:r>
          </w:p>
        </w:tc>
        <w:tc>
          <w:tcPr>
            <w:tcW w:w="10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174EB6F"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Todos los suscriptores</w:t>
            </w:r>
          </w:p>
        </w:tc>
      </w:tr>
    </w:tbl>
    <w:p w14:paraId="2927A062" w14:textId="6D7E32E6"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4AA21A40" wp14:editId="1B21747A">
            <wp:extent cx="127000" cy="127000"/>
            <wp:effectExtent l="0" t="0" r="0" b="0"/>
            <wp:docPr id="5"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Indicación del lugar donde se puede obtener el último informe anual y el último resumen periódico: </w:t>
      </w:r>
    </w:p>
    <w:p w14:paraId="7040883F"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76B7BF03"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Los últimos documentos anuales y periódicos se envían en el plazo de ocho días laborables previa a petición del partícipe a: </w:t>
      </w:r>
    </w:p>
    <w:p w14:paraId="0227C61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AE7E8E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p>
    <w:p w14:paraId="3DDFB440" w14:textId="77777777" w:rsidR="00DC3D49" w:rsidRDefault="00DC3D49">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rPr>
        <w:t xml:space="preserve">Amundi </w:t>
      </w:r>
      <w:proofErr w:type="spellStart"/>
      <w:r>
        <w:rPr>
          <w:rFonts w:ascii="Arial" w:hAnsi="Arial"/>
          <w:b/>
          <w:color w:val="000000"/>
          <w:sz w:val="20"/>
        </w:rPr>
        <w:t>Asset</w:t>
      </w:r>
      <w:proofErr w:type="spellEnd"/>
      <w:r>
        <w:rPr>
          <w:rFonts w:ascii="Arial" w:hAnsi="Arial"/>
          <w:b/>
          <w:color w:val="000000"/>
          <w:sz w:val="20"/>
        </w:rPr>
        <w:t xml:space="preserve"> Management</w:t>
      </w:r>
    </w:p>
    <w:p w14:paraId="4A12D82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Amundi ETF</w:t>
      </w:r>
    </w:p>
    <w:p w14:paraId="4FFB7FB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91-93, Boulevard Pasteur</w:t>
      </w:r>
    </w:p>
    <w:p w14:paraId="7E5FCC7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CS 21564</w:t>
      </w:r>
    </w:p>
    <w:p w14:paraId="3C33355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75730 París </w:t>
      </w:r>
      <w:proofErr w:type="spellStart"/>
      <w:r>
        <w:rPr>
          <w:rFonts w:ascii="Arial" w:hAnsi="Arial"/>
          <w:color w:val="000000"/>
          <w:sz w:val="20"/>
        </w:rPr>
        <w:t>Cedex</w:t>
      </w:r>
      <w:proofErr w:type="spellEnd"/>
      <w:r>
        <w:rPr>
          <w:rFonts w:ascii="Arial" w:hAnsi="Arial"/>
          <w:color w:val="000000"/>
          <w:sz w:val="20"/>
        </w:rPr>
        <w:t xml:space="preserve"> 15</w:t>
      </w:r>
    </w:p>
    <w:p w14:paraId="139305A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Tel.: 01 76 32 47 74</w:t>
      </w:r>
    </w:p>
    <w:p w14:paraId="0A4DB65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Correo electrónico: info@amundietf.com</w:t>
      </w:r>
    </w:p>
    <w:p w14:paraId="6258B7B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08CC35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Puede obtener información adicional en Amundi </w:t>
      </w:r>
      <w:proofErr w:type="spellStart"/>
      <w:r>
        <w:rPr>
          <w:rFonts w:ascii="Arial" w:hAnsi="Arial"/>
          <w:color w:val="000000"/>
          <w:sz w:val="20"/>
        </w:rPr>
        <w:t>Asset</w:t>
      </w:r>
      <w:proofErr w:type="spellEnd"/>
      <w:r>
        <w:rPr>
          <w:rFonts w:ascii="Arial" w:hAnsi="Arial"/>
          <w:color w:val="000000"/>
          <w:sz w:val="20"/>
        </w:rPr>
        <w:t xml:space="preserve"> Management, así como en el sitio web amundietf.com.</w:t>
      </w:r>
    </w:p>
    <w:p w14:paraId="332ED4F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6AD0B4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sitio web de la Autoridad de Mercados Financieros («AMF»), www.amf-france.org, contiene información adicional concerniente a la lista de documentos reglamentarios y al conjunto de disposiciones relativas a la protección de los inversores.</w:t>
      </w:r>
    </w:p>
    <w:p w14:paraId="5797932D"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II. ACTORES</w:t>
      </w:r>
    </w:p>
    <w:p w14:paraId="6CF613C1" w14:textId="7B3EC9BC"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47D5F752" wp14:editId="4B0433A9">
            <wp:extent cx="127000" cy="127000"/>
            <wp:effectExtent l="0" t="0" r="0" b="0"/>
            <wp:docPr id="6"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Sociedad de gestión:</w:t>
      </w:r>
    </w:p>
    <w:p w14:paraId="3760B293"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13AF74C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Amundi </w:t>
      </w:r>
      <w:proofErr w:type="spellStart"/>
      <w:r>
        <w:rPr>
          <w:rFonts w:ascii="Arial" w:hAnsi="Arial"/>
          <w:color w:val="000000"/>
          <w:sz w:val="20"/>
        </w:rPr>
        <w:t>Asset</w:t>
      </w:r>
      <w:proofErr w:type="spellEnd"/>
      <w:r>
        <w:rPr>
          <w:rFonts w:ascii="Arial" w:hAnsi="Arial"/>
          <w:color w:val="000000"/>
          <w:sz w:val="20"/>
        </w:rPr>
        <w:t xml:space="preserve"> Management (la «Sociedad de gestión»)</w:t>
      </w:r>
    </w:p>
    <w:p w14:paraId="4D1F41F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Sociedad por acciones simplificada,</w:t>
      </w:r>
    </w:p>
    <w:p w14:paraId="43338F5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Sociedad Gestora de Cartera autorizada por la AMF con el </w:t>
      </w:r>
      <w:proofErr w:type="spellStart"/>
      <w:r>
        <w:rPr>
          <w:rFonts w:ascii="Arial" w:hAnsi="Arial"/>
          <w:color w:val="000000"/>
          <w:sz w:val="20"/>
        </w:rPr>
        <w:t>n.°</w:t>
      </w:r>
      <w:proofErr w:type="spellEnd"/>
      <w:r>
        <w:rPr>
          <w:rFonts w:ascii="Arial" w:hAnsi="Arial"/>
          <w:color w:val="000000"/>
          <w:sz w:val="20"/>
        </w:rPr>
        <w:t> GP 04000036</w:t>
      </w:r>
    </w:p>
    <w:p w14:paraId="2C0F66F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Domicilio social: 91-93, Boulevard Pasteur - 75015 París</w:t>
      </w:r>
    </w:p>
    <w:p w14:paraId="65EE8B9D" w14:textId="04EDB7F0"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67DD81B" wp14:editId="0572171F">
            <wp:extent cx="127000" cy="127000"/>
            <wp:effectExtent l="0" t="0" r="0" b="0"/>
            <wp:docPr id="7"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Depositario y gestor del pasivo:</w:t>
      </w:r>
    </w:p>
    <w:p w14:paraId="0B6EFD79"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3BFED2F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Bank (el «Depositario»), </w:t>
      </w:r>
    </w:p>
    <w:p w14:paraId="39F0169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4A9E5B1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Actividad principal: Entidad de crédito prestataria de servicios de inversión autorizada por el Comité de Entidades de Créditos e Inversión (el «CECEI») el 1 de abril de 2005,</w:t>
      </w:r>
    </w:p>
    <w:p w14:paraId="3818835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p>
    <w:p w14:paraId="1F72F36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relación con las funciones reglamentarias y contractuales encargadas por la Sociedad Gestora, el depositario tiene como actividad principal la custodia de los activos del OICVM, el control de la regularidad de las decisiones de la Sociedad Gestora y el seguimiento del flujo de liquidez del OICVM.</w:t>
      </w:r>
    </w:p>
    <w:p w14:paraId="17F1622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depositario y la sociedad de gestión pertenecen al mismo grupo; asimismo, y de acuerdo con la legislación aplicable, han establecido una política de identificación y prevención de conflictos de intereses. Si es imposible evitar un conflicto de intereses, la Sociedad de gestión y el depositario tomarán todas las medidas necesarias para gestionar, hacer un seguimiento e informar sobre este conflicto de intereses.</w:t>
      </w:r>
    </w:p>
    <w:p w14:paraId="224E7B69"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descripción de las funciones de custodia delegadas, la lista de delegados y subdelegados del depositario y la información relativa a los conflictos de intereses que puedan surgir por estas delegaciones, se hallan disponibles en su sitio web: caceis.com o de forma gratuita previa solicitud escrita. </w:t>
      </w:r>
    </w:p>
    <w:p w14:paraId="37E1227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información actualizada está a disposición de los partícipes previa solicitud.</w:t>
      </w:r>
    </w:p>
    <w:p w14:paraId="52F324D6" w14:textId="575743E1"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4D88369" wp14:editId="1DD6DFE0">
            <wp:extent cx="127000" cy="127000"/>
            <wp:effectExtent l="0" t="0" r="0" b="0"/>
            <wp:docPr id="8"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Entidad a cargo de la centralización de las órdenes de suscripción y de reembolso por delegación de la Sociedad de gestión:</w:t>
      </w:r>
    </w:p>
    <w:p w14:paraId="54D91323"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26C0070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CACEIS Bank,</w:t>
      </w:r>
    </w:p>
    <w:p w14:paraId="2FDB2F5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06B3667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p>
    <w:p w14:paraId="2B6D7DA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Actividad principal: Entidad bancaria prestataria de servicios de inversión autorizada por el Comité de Entidades de Créditos e Inversión (el «CECEI») el 1 de abril de 2005.</w:t>
      </w:r>
    </w:p>
    <w:p w14:paraId="227A348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depositario también debe encargarse, por delegación de la Sociedad Gestora, de mantener el pasivo del Fondo, que abarca la centralización de las peticiones de suscripción y reembolso de las participaciones del Fondo, así como el mantenimiento de las cuentas de emisión de participaciones del Fondo.</w:t>
      </w:r>
    </w:p>
    <w:p w14:paraId="453DF61C" w14:textId="27B3905B"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13639E0" wp14:editId="6A53B0D3">
            <wp:extent cx="127000" cy="127000"/>
            <wp:effectExtent l="0" t="0" r="0" b="0"/>
            <wp:docPr id="9"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Auditor: </w:t>
      </w:r>
    </w:p>
    <w:p w14:paraId="75176C8E"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1EAC825E"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PwC </w:t>
      </w:r>
      <w:proofErr w:type="spellStart"/>
      <w:r>
        <w:rPr>
          <w:rFonts w:ascii="Arial" w:hAnsi="Arial"/>
          <w:color w:val="000000"/>
          <w:sz w:val="20"/>
        </w:rPr>
        <w:t>Sellam</w:t>
      </w:r>
      <w:proofErr w:type="spellEnd"/>
      <w:r>
        <w:rPr>
          <w:rFonts w:ascii="Arial" w:hAnsi="Arial"/>
          <w:color w:val="000000"/>
          <w:sz w:val="20"/>
        </w:rPr>
        <w:t xml:space="preserve">, representada por Don Patrick </w:t>
      </w:r>
      <w:proofErr w:type="spellStart"/>
      <w:r>
        <w:rPr>
          <w:rFonts w:ascii="Arial" w:hAnsi="Arial"/>
          <w:color w:val="000000"/>
          <w:sz w:val="20"/>
        </w:rPr>
        <w:t>Sellam</w:t>
      </w:r>
      <w:proofErr w:type="spellEnd"/>
      <w:r>
        <w:rPr>
          <w:rFonts w:ascii="Arial" w:hAnsi="Arial"/>
          <w:color w:val="000000"/>
          <w:sz w:val="20"/>
        </w:rPr>
        <w:t>,</w:t>
      </w:r>
    </w:p>
    <w:p w14:paraId="5B12108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63, rue de </w:t>
      </w:r>
      <w:proofErr w:type="spellStart"/>
      <w:r>
        <w:rPr>
          <w:rFonts w:ascii="Arial" w:hAnsi="Arial"/>
          <w:color w:val="000000"/>
          <w:sz w:val="20"/>
        </w:rPr>
        <w:t>Villiers</w:t>
      </w:r>
      <w:proofErr w:type="spellEnd"/>
      <w:r>
        <w:rPr>
          <w:rFonts w:ascii="Arial" w:hAnsi="Arial"/>
          <w:color w:val="000000"/>
          <w:sz w:val="20"/>
        </w:rPr>
        <w:t>, 92200 Neuilly-sur-</w:t>
      </w:r>
      <w:proofErr w:type="spellStart"/>
      <w:r>
        <w:rPr>
          <w:rFonts w:ascii="Arial" w:hAnsi="Arial"/>
          <w:color w:val="000000"/>
          <w:sz w:val="20"/>
        </w:rPr>
        <w:t>Seine</w:t>
      </w:r>
      <w:proofErr w:type="spellEnd"/>
    </w:p>
    <w:p w14:paraId="5F104C8D" w14:textId="49380A02"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6856FAF9" wp14:editId="29A5659D">
            <wp:extent cx="127000" cy="127000"/>
            <wp:effectExtent l="0" t="0" r="0" b="0"/>
            <wp:docPr id="10"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Delegado de gestión contable:</w:t>
      </w:r>
    </w:p>
    <w:p w14:paraId="0F55AAB2"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64823099"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Fund </w:t>
      </w:r>
      <w:proofErr w:type="spellStart"/>
      <w:r>
        <w:rPr>
          <w:rFonts w:ascii="Arial" w:hAnsi="Arial"/>
          <w:color w:val="000000"/>
          <w:sz w:val="20"/>
        </w:rPr>
        <w:t>Administration</w:t>
      </w:r>
      <w:proofErr w:type="spellEnd"/>
      <w:r>
        <w:rPr>
          <w:rFonts w:ascii="Arial" w:hAnsi="Arial"/>
          <w:color w:val="000000"/>
          <w:sz w:val="20"/>
        </w:rPr>
        <w:t>,</w:t>
      </w:r>
    </w:p>
    <w:p w14:paraId="718F57C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anónima,</w:t>
      </w:r>
    </w:p>
    <w:p w14:paraId="2327C40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- 92120 </w:t>
      </w:r>
      <w:proofErr w:type="spellStart"/>
      <w:r>
        <w:rPr>
          <w:rFonts w:ascii="Arial" w:hAnsi="Arial"/>
          <w:color w:val="000000"/>
          <w:sz w:val="20"/>
        </w:rPr>
        <w:t>Montrouge</w:t>
      </w:r>
      <w:proofErr w:type="spellEnd"/>
    </w:p>
    <w:p w14:paraId="47987D9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016C80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CACEIS Fund </w:t>
      </w:r>
      <w:proofErr w:type="spellStart"/>
      <w:r>
        <w:rPr>
          <w:rFonts w:ascii="Arial" w:hAnsi="Arial"/>
          <w:color w:val="000000"/>
          <w:sz w:val="20"/>
        </w:rPr>
        <w:t>Administration</w:t>
      </w:r>
      <w:proofErr w:type="spellEnd"/>
      <w:r>
        <w:rPr>
          <w:rFonts w:ascii="Arial" w:hAnsi="Arial"/>
          <w:color w:val="000000"/>
          <w:sz w:val="20"/>
        </w:rPr>
        <w:t xml:space="preserve"> es la entidad del grupo CRÉDIT AGRICOLE especializada en las funciones de gestión administrativa y contable de los OIC para clientes internos y externos al grupo.</w:t>
      </w:r>
    </w:p>
    <w:p w14:paraId="4505450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Como tal, CACEIS Fund </w:t>
      </w:r>
      <w:proofErr w:type="spellStart"/>
      <w:r>
        <w:rPr>
          <w:rFonts w:ascii="Arial" w:hAnsi="Arial"/>
          <w:color w:val="000000"/>
          <w:sz w:val="20"/>
        </w:rPr>
        <w:t>Administration</w:t>
      </w:r>
      <w:proofErr w:type="spellEnd"/>
      <w:r>
        <w:rPr>
          <w:rFonts w:ascii="Arial" w:hAnsi="Arial"/>
          <w:color w:val="000000"/>
          <w:sz w:val="20"/>
        </w:rPr>
        <w:t xml:space="preserve"> ha sido designado por la Sociedad Gestora, en calidad de gestor contable por delegación, para las tareas de valoración y administración contable del Fondo. CACEIS Fund </w:t>
      </w:r>
      <w:proofErr w:type="spellStart"/>
      <w:r>
        <w:rPr>
          <w:rFonts w:ascii="Arial" w:hAnsi="Arial"/>
          <w:color w:val="000000"/>
          <w:sz w:val="20"/>
        </w:rPr>
        <w:t>Administration</w:t>
      </w:r>
      <w:proofErr w:type="spellEnd"/>
      <w:r>
        <w:rPr>
          <w:rFonts w:ascii="Arial" w:hAnsi="Arial"/>
          <w:color w:val="000000"/>
          <w:sz w:val="20"/>
        </w:rPr>
        <w:t xml:space="preserve"> tiene a su cargo la valoración de los activos, el establecimiento del valor liquidativo del Fondo y los documentos periódicos.</w:t>
      </w:r>
    </w:p>
    <w:p w14:paraId="76371BF9" w14:textId="07ABF17A"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6BE70FED" wp14:editId="3E16B1B3">
            <wp:extent cx="127000" cy="127000"/>
            <wp:effectExtent l="0" t="0" r="0" b="0"/>
            <wp:docPr id="1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Creadores de mercado:</w:t>
      </w:r>
    </w:p>
    <w:p w14:paraId="3B392342"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1A0A61F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11 de diciembre de 2012, la entidad financiera «Creadora de mercado» es la siguiente: </w:t>
      </w:r>
    </w:p>
    <w:p w14:paraId="2FE7558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p>
    <w:p w14:paraId="58C8D89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p>
    <w:p w14:paraId="2C29C35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regular colectiva</w:t>
      </w:r>
    </w:p>
    <w:p w14:paraId="5937BA12" w14:textId="77777777" w:rsidR="00DC3D49" w:rsidRDefault="00DC3D49">
      <w:pPr>
        <w:autoSpaceDE w:val="0"/>
        <w:autoSpaceDN w:val="0"/>
        <w:adjustRightInd w:val="0"/>
        <w:spacing w:after="0" w:line="240" w:lineRule="auto"/>
        <w:jc w:val="both"/>
        <w:rPr>
          <w:rFonts w:ascii="Arial" w:hAnsi="Arial"/>
          <w:color w:val="000000"/>
          <w:sz w:val="20"/>
        </w:rPr>
      </w:pPr>
      <w:r>
        <w:rPr>
          <w:rFonts w:ascii="Arial" w:hAnsi="Arial"/>
          <w:color w:val="000000"/>
          <w:sz w:val="20"/>
        </w:rPr>
        <w:t>Domicilio social: 160-162, Boulevard Mac Donald – 75019, París</w:t>
      </w:r>
    </w:p>
    <w:p w14:paraId="222D7C35" w14:textId="77777777" w:rsidR="00857814" w:rsidRDefault="00857814">
      <w:pPr>
        <w:autoSpaceDE w:val="0"/>
        <w:autoSpaceDN w:val="0"/>
        <w:adjustRightInd w:val="0"/>
        <w:spacing w:after="0" w:line="240" w:lineRule="auto"/>
        <w:jc w:val="both"/>
        <w:rPr>
          <w:rFonts w:ascii="Arial" w:hAnsi="Arial" w:cs="Arial"/>
          <w:color w:val="000000"/>
          <w:kern w:val="0"/>
          <w:sz w:val="20"/>
          <w:szCs w:val="20"/>
        </w:rPr>
      </w:pPr>
    </w:p>
    <w:p w14:paraId="49EA19BB"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III. MODALIDADES DE FUNCIONAMIENTO Y DE GESTIÓN</w:t>
      </w:r>
    </w:p>
    <w:p w14:paraId="34EA08EE" w14:textId="77777777" w:rsidR="00DC3D49" w:rsidRDefault="00DC3D49">
      <w:pPr>
        <w:autoSpaceDE w:val="0"/>
        <w:autoSpaceDN w:val="0"/>
        <w:adjustRightInd w:val="0"/>
        <w:spacing w:before="200" w:after="0" w:line="240" w:lineRule="auto"/>
        <w:jc w:val="both"/>
        <w:rPr>
          <w:rFonts w:ascii="Arial" w:hAnsi="Arial" w:cs="Arial"/>
          <w:b/>
          <w:bCs/>
          <w:color w:val="000000"/>
          <w:kern w:val="0"/>
          <w:u w:val="single"/>
        </w:rPr>
      </w:pPr>
      <w:r>
        <w:rPr>
          <w:rFonts w:ascii="Arial" w:hAnsi="Arial"/>
          <w:b/>
          <w:color w:val="000000"/>
          <w:u w:val="single"/>
        </w:rPr>
        <w:t>III.1 Características generales</w:t>
      </w:r>
    </w:p>
    <w:p w14:paraId="11655ED1" w14:textId="4D2CEC13"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A5ADF67" wp14:editId="56F697DD">
            <wp:extent cx="127000" cy="127000"/>
            <wp:effectExtent l="0" t="0" r="0" b="0"/>
            <wp:docPr id="12"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Características de las participaciones:</w:t>
      </w:r>
    </w:p>
    <w:p w14:paraId="78F32EEC"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245BFA0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b/>
          <w:color w:val="000000"/>
          <w:sz w:val="20"/>
        </w:rPr>
        <w:t>Código ISIN:</w:t>
      </w:r>
      <w:r>
        <w:rPr>
          <w:rFonts w:ascii="Arial" w:hAnsi="Arial"/>
          <w:color w:val="000000"/>
          <w:sz w:val="20"/>
        </w:rPr>
        <w:t xml:space="preserve"> FR0010790980</w:t>
      </w:r>
    </w:p>
    <w:p w14:paraId="77931CAE" w14:textId="5FBAA62E"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2B391FE7" wp14:editId="61C8643F">
            <wp:extent cx="127000" cy="127000"/>
            <wp:effectExtent l="0" t="0" r="0" b="0"/>
            <wp:docPr id="13"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Naturaleza del derecho vinculado a la categoría de las participaciones</w:t>
      </w:r>
      <w:r>
        <w:rPr>
          <w:rFonts w:ascii="Arial" w:hAnsi="Arial"/>
          <w:b/>
          <w:color w:val="000000"/>
          <w:sz w:val="20"/>
        </w:rPr>
        <w:t xml:space="preserve">: </w:t>
      </w:r>
      <w:r>
        <w:rPr>
          <w:rFonts w:ascii="Arial" w:hAnsi="Arial"/>
          <w:color w:val="000000"/>
          <w:sz w:val="20"/>
        </w:rPr>
        <w:t>Cada partícipe posee un derecho de copropiedad sobre los activos del Fondo de inversión proporcional al número de participaciones en propiedad.</w:t>
      </w:r>
    </w:p>
    <w:p w14:paraId="61C0260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37F2306" w14:textId="2134CBE9"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9899E36" wp14:editId="6E2BCBC2">
            <wp:extent cx="127000" cy="127000"/>
            <wp:effectExtent l="0" t="0" r="0" b="0"/>
            <wp:docPr id="1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Inscripción en un registro o especificación de las modalidades de llevanza del pasivo</w:t>
      </w:r>
      <w:r>
        <w:rPr>
          <w:rFonts w:ascii="Arial" w:hAnsi="Arial"/>
          <w:b/>
          <w:color w:val="000000"/>
          <w:sz w:val="20"/>
        </w:rPr>
        <w:t xml:space="preserve">: </w:t>
      </w:r>
      <w:r>
        <w:rPr>
          <w:rFonts w:ascii="Arial" w:hAnsi="Arial"/>
          <w:color w:val="000000"/>
          <w:sz w:val="20"/>
        </w:rPr>
        <w:t xml:space="preserve">El Depositario garantiza la llevanza del pasivo. Las participaciones se admiten en </w:t>
      </w:r>
      <w:proofErr w:type="spellStart"/>
      <w:r>
        <w:rPr>
          <w:rFonts w:ascii="Arial" w:hAnsi="Arial"/>
          <w:color w:val="000000"/>
          <w:sz w:val="20"/>
        </w:rPr>
        <w:t>Euroclear</w:t>
      </w:r>
      <w:proofErr w:type="spellEnd"/>
      <w:r>
        <w:rPr>
          <w:rFonts w:ascii="Arial" w:hAnsi="Arial"/>
          <w:color w:val="000000"/>
          <w:sz w:val="20"/>
        </w:rPr>
        <w:t xml:space="preserve"> France, </w:t>
      </w:r>
      <w:proofErr w:type="spellStart"/>
      <w:r>
        <w:rPr>
          <w:rFonts w:ascii="Arial" w:hAnsi="Arial"/>
          <w:color w:val="000000"/>
          <w:sz w:val="20"/>
        </w:rPr>
        <w:t>Clearstream</w:t>
      </w:r>
      <w:proofErr w:type="spellEnd"/>
      <w:r>
        <w:rPr>
          <w:rFonts w:ascii="Arial" w:hAnsi="Arial"/>
          <w:color w:val="000000"/>
          <w:sz w:val="20"/>
        </w:rPr>
        <w:t xml:space="preserve"> </w:t>
      </w:r>
      <w:proofErr w:type="spellStart"/>
      <w:r>
        <w:rPr>
          <w:rFonts w:ascii="Arial" w:hAnsi="Arial"/>
          <w:color w:val="000000"/>
          <w:sz w:val="20"/>
        </w:rPr>
        <w:t>Banking</w:t>
      </w:r>
      <w:proofErr w:type="spellEnd"/>
      <w:r>
        <w:rPr>
          <w:rFonts w:ascii="Arial" w:hAnsi="Arial"/>
          <w:color w:val="000000"/>
          <w:sz w:val="20"/>
        </w:rPr>
        <w:t xml:space="preserve"> S.A. y </w:t>
      </w:r>
      <w:proofErr w:type="spellStart"/>
      <w:r>
        <w:rPr>
          <w:rFonts w:ascii="Arial" w:hAnsi="Arial"/>
          <w:color w:val="000000"/>
          <w:sz w:val="20"/>
        </w:rPr>
        <w:t>Euroclear</w:t>
      </w:r>
      <w:proofErr w:type="spellEnd"/>
      <w:r>
        <w:rPr>
          <w:rFonts w:ascii="Arial" w:hAnsi="Arial"/>
          <w:color w:val="000000"/>
          <w:sz w:val="20"/>
        </w:rPr>
        <w:t xml:space="preserve"> Bank.</w:t>
      </w:r>
    </w:p>
    <w:p w14:paraId="5F6F602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EC913EF" w14:textId="6237B330"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3F87476C" wp14:editId="1C0AB7BE">
            <wp:extent cx="127000" cy="127000"/>
            <wp:effectExtent l="0" t="0" r="0" b="0"/>
            <wp:docPr id="1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Derechos de voto</w:t>
      </w:r>
      <w:r>
        <w:rPr>
          <w:rFonts w:ascii="Arial" w:hAnsi="Arial"/>
          <w:b/>
          <w:color w:val="000000"/>
          <w:sz w:val="20"/>
        </w:rPr>
        <w:t xml:space="preserve">: </w:t>
      </w:r>
      <w:r>
        <w:rPr>
          <w:rFonts w:ascii="Arial" w:hAnsi="Arial"/>
          <w:color w:val="000000"/>
          <w:sz w:val="20"/>
        </w:rPr>
        <w:t>Las participaciones no implican derecho de voto alguno, tomando las decisiones la Sociedad de gestión. Se recuerda que se facilita a los partícipes información sobre las modificaciones del funcionamiento del Fondo, ya sea individualmente, por medios escritos o por cualquier otro medio, conforme a la normativa vigente.</w:t>
      </w:r>
    </w:p>
    <w:p w14:paraId="130E882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F89E8DB" w14:textId="3170FA7D"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43CBD0DA" wp14:editId="5C367D47">
            <wp:extent cx="127000" cy="127000"/>
            <wp:effectExtent l="0" t="0" r="0" b="0"/>
            <wp:docPr id="16"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Forma de las participaciones</w:t>
      </w:r>
      <w:r>
        <w:rPr>
          <w:rFonts w:ascii="Arial" w:hAnsi="Arial"/>
          <w:b/>
          <w:color w:val="000000"/>
          <w:sz w:val="20"/>
        </w:rPr>
        <w:t xml:space="preserve">: </w:t>
      </w:r>
      <w:r>
        <w:rPr>
          <w:rFonts w:ascii="Arial" w:hAnsi="Arial"/>
          <w:color w:val="000000"/>
          <w:sz w:val="20"/>
        </w:rPr>
        <w:t>Al portador.</w:t>
      </w:r>
    </w:p>
    <w:p w14:paraId="58B6E53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B851A2A" w14:textId="60A7A8AF"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7D181422" wp14:editId="15044A6B">
            <wp:extent cx="127000" cy="127000"/>
            <wp:effectExtent l="0" t="0" r="0" b="0"/>
            <wp:docPr id="17"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r>
        <w:rPr>
          <w:rFonts w:ascii="Arial" w:hAnsi="Arial"/>
          <w:b/>
          <w:color w:val="000000"/>
          <w:sz w:val="20"/>
          <w:u w:val="single"/>
        </w:rPr>
        <w:t>Decimalización</w:t>
      </w:r>
      <w:proofErr w:type="spellEnd"/>
      <w:r>
        <w:rPr>
          <w:rFonts w:ascii="Arial" w:hAnsi="Arial"/>
          <w:b/>
          <w:color w:val="000000"/>
          <w:sz w:val="20"/>
          <w:u w:val="single"/>
        </w:rPr>
        <w:t xml:space="preserve"> posiblemente prevista (fraccionamiento)</w:t>
      </w:r>
      <w:r>
        <w:rPr>
          <w:rFonts w:ascii="Arial" w:hAnsi="Arial"/>
          <w:color w:val="000000"/>
          <w:sz w:val="20"/>
        </w:rPr>
        <w:t>: Las suscripciones y los reembolsos se efectúan completamente.</w:t>
      </w:r>
    </w:p>
    <w:p w14:paraId="3C49C8A0"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p>
    <w:p w14:paraId="75A27644" w14:textId="011D2116"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FC94D7F" wp14:editId="4DDF0DB1">
            <wp:extent cx="127000" cy="127000"/>
            <wp:effectExtent l="0" t="0" r="0" b="0"/>
            <wp:docPr id="18"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Admisión de las participaciones en el mercado </w:t>
      </w:r>
      <w:proofErr w:type="spellStart"/>
      <w:r>
        <w:rPr>
          <w:rFonts w:ascii="Arial" w:hAnsi="Arial"/>
          <w:b/>
          <w:color w:val="000000"/>
          <w:sz w:val="20"/>
        </w:rPr>
        <w:t>NextTrack</w:t>
      </w:r>
      <w:proofErr w:type="spellEnd"/>
      <w:r>
        <w:rPr>
          <w:rFonts w:ascii="Arial" w:hAnsi="Arial"/>
          <w:b/>
          <w:color w:val="000000"/>
          <w:sz w:val="20"/>
        </w:rPr>
        <w:t xml:space="preserve"> de Euronext Paris: </w:t>
      </w:r>
    </w:p>
    <w:p w14:paraId="74A00E3A"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4B19FEEB" w14:textId="77777777" w:rsidR="001B629D" w:rsidRPr="00CC00B0" w:rsidRDefault="001B629D" w:rsidP="001B629D">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En referencia al artículo D.214-22-1 del Código Monetario y Financiero (el «</w:t>
      </w:r>
      <w:r>
        <w:rPr>
          <w:rFonts w:ascii="Arial" w:hAnsi="Arial"/>
          <w:b/>
          <w:color w:val="000000"/>
          <w:sz w:val="20"/>
        </w:rPr>
        <w:t>CMF</w:t>
      </w:r>
      <w:r>
        <w:rPr>
          <w:rFonts w:ascii="Arial" w:hAnsi="Arial"/>
          <w:color w:val="000000"/>
          <w:sz w:val="20"/>
        </w:rPr>
        <w:t>»), según el cual las acciones o las participaciones de los organismos de inversión colectiva en valores mobiliarios pueden ser objeto de admisión a cotización con la condición de que los organismos hayan desarrollado un dispositivo que permita garantizar que la cotización en bolsa de las acciones o las participaciones no experimente una desviación notable de un precio de referencia (el «</w:t>
      </w:r>
      <w:r>
        <w:rPr>
          <w:rFonts w:ascii="Arial" w:hAnsi="Arial"/>
          <w:b/>
          <w:color w:val="000000"/>
          <w:sz w:val="20"/>
        </w:rPr>
        <w:t>Precio de referencia</w:t>
      </w:r>
      <w:r>
        <w:rPr>
          <w:rFonts w:ascii="Arial" w:hAnsi="Arial"/>
          <w:color w:val="000000"/>
          <w:sz w:val="20"/>
        </w:rPr>
        <w:t>»), las siguientes normas de funcionamiento, determinadas por Euronext Paris S.A., se aplican a la cotización de las participaciones del Fondo:</w:t>
      </w:r>
    </w:p>
    <w:p w14:paraId="59258FD4" w14:textId="548C69F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10BA7F6" w14:textId="5B08F039"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08AEBF68" wp14:editId="3E2F1375">
            <wp:extent cx="127000" cy="127000"/>
            <wp:effectExtent l="0" t="0" r="0" b="0"/>
            <wp:docPr id="1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los límites de cotización se fijan aplicando un porcentaje de variación del 1,5 % de una parte y de otra a partir del Precio de referencia (véase la sección «Precio de referencia») del Fondo, publicado por Euronext Paris SA y actualizado aproximadamente durante la sesión en función de la variación del índice 100% STOXX 50 (EUROPE); </w:t>
      </w:r>
    </w:p>
    <w:p w14:paraId="07374A15" w14:textId="0096C7BE"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F21C691" w14:textId="56B931DC"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2F1AA16" wp14:editId="5945C03D">
            <wp:extent cx="127000" cy="127000"/>
            <wp:effectExtent l="0" t="0" r="0" b="0"/>
            <wp:docPr id="2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la negociación de las participaciones del Fondo en el mercado </w:t>
      </w:r>
      <w:proofErr w:type="spellStart"/>
      <w:r>
        <w:rPr>
          <w:rFonts w:ascii="Arial" w:hAnsi="Arial"/>
          <w:color w:val="000000"/>
          <w:sz w:val="20"/>
        </w:rPr>
        <w:t>NextTrack</w:t>
      </w:r>
      <w:proofErr w:type="spellEnd"/>
      <w:r>
        <w:rPr>
          <w:rFonts w:ascii="Arial" w:hAnsi="Arial"/>
          <w:color w:val="000000"/>
          <w:sz w:val="20"/>
        </w:rPr>
        <w:t xml:space="preserve"> de Euronext Paris será suspendida en los siguientes casos: </w:t>
      </w:r>
    </w:p>
    <w:p w14:paraId="7DCB98B1" w14:textId="19BAB401"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6ADAD6C" w14:textId="3209DEEB"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7C16D565" wp14:editId="24D58093">
            <wp:extent cx="127000" cy="127000"/>
            <wp:effectExtent l="0" t="0" r="0" b="0"/>
            <wp:docPr id="2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suspensión o cancelación de la cotización o del cálculo del índice 100% STOXX 50 (EUROPE) por parte del proveedor del índice; </w:t>
      </w:r>
    </w:p>
    <w:p w14:paraId="4FE2CA18" w14:textId="52350A1C"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130587DE" wp14:editId="62E80B76">
            <wp:extent cx="127000" cy="127000"/>
            <wp:effectExtent l="0" t="0" r="0" b="0"/>
            <wp:docPr id="22"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suspensión del/de los mercado(s) en el que/en los que cotizan los valores que componen el índice 100% STOXX 50 (EUROPE);</w:t>
      </w:r>
    </w:p>
    <w:p w14:paraId="4A6FEDF5" w14:textId="2107E688"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563A1302" wp14:editId="770454BE">
            <wp:extent cx="127000" cy="127000"/>
            <wp:effectExtent l="0" t="0" r="0" b="0"/>
            <wp:docPr id="23"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indisponibilidad para Euronext Paris del Índice 100% STOXX 50 (EUROPE); </w:t>
      </w:r>
    </w:p>
    <w:p w14:paraId="4308B7C8" w14:textId="00F4ABB4"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0CF818E2" wp14:editId="6218151D">
            <wp:extent cx="127000" cy="127000"/>
            <wp:effectExtent l="0" t="0" r="0" b="0"/>
            <wp:docPr id="2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imposibilidad por parte de Euronext Paris de obtener el valor liquidativo diario del Fondo y/o de publicar el Precio de referencia;</w:t>
      </w:r>
    </w:p>
    <w:p w14:paraId="407F3D16" w14:textId="72F4794B"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24DF51D2" wp14:editId="1F952EA9">
            <wp:extent cx="127000" cy="127000"/>
            <wp:effectExtent l="0" t="0" r="0" b="0"/>
            <wp:docPr id="25"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incumplimiento de un creador de mercado de las reglas aplicables al Euronext Paris;</w:t>
      </w:r>
    </w:p>
    <w:p w14:paraId="6C574F21" w14:textId="10C3E8CD"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2652B637" wp14:editId="3554B86C">
            <wp:extent cx="127000" cy="127000"/>
            <wp:effectExtent l="0" t="0" r="0" b="0"/>
            <wp:docPr id="26"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fallo de los sistemas, principalmente informáticos o electrónicos, del Euronext Paris;</w:t>
      </w:r>
    </w:p>
    <w:p w14:paraId="6C839288" w14:textId="539E38A9"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drawing>
          <wp:inline distT="0" distB="0" distL="0" distR="0" wp14:anchorId="4E25160D" wp14:editId="27A311F5">
            <wp:extent cx="127000" cy="127000"/>
            <wp:effectExtent l="0" t="0" r="0" b="0"/>
            <wp:docPr id="27"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perturbaciones o dificultades del mercado bursátil que imposibiliten la gestión normal de la creación de mercado;</w:t>
      </w:r>
    </w:p>
    <w:p w14:paraId="0E995AD4" w14:textId="456BC892" w:rsidR="00DC3D49" w:rsidRDefault="00C837FF">
      <w:pPr>
        <w:autoSpaceDE w:val="0"/>
        <w:autoSpaceDN w:val="0"/>
        <w:adjustRightInd w:val="0"/>
        <w:spacing w:after="0" w:line="240" w:lineRule="auto"/>
        <w:ind w:left="900"/>
        <w:jc w:val="both"/>
        <w:rPr>
          <w:rFonts w:ascii="Arial" w:hAnsi="Arial" w:cs="Arial"/>
          <w:color w:val="000000"/>
          <w:kern w:val="0"/>
          <w:sz w:val="20"/>
          <w:szCs w:val="20"/>
        </w:rPr>
      </w:pPr>
      <w:r>
        <w:rPr>
          <w:rFonts w:ascii="Arial" w:hAnsi="Arial"/>
          <w:noProof/>
          <w:color w:val="000000"/>
          <w:sz w:val="20"/>
        </w:rPr>
        <w:lastRenderedPageBreak/>
        <w:drawing>
          <wp:inline distT="0" distB="0" distL="0" distR="0" wp14:anchorId="7FCBC1CB" wp14:editId="562F4DE9">
            <wp:extent cx="127000" cy="127000"/>
            <wp:effectExtent l="0" t="0" r="0" b="0"/>
            <wp:docPr id="28"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cualquier otro hecho que impida el cálculo del Precio de referencia del Fondo o la negociación de las participaciones del Fondo.</w:t>
      </w:r>
    </w:p>
    <w:p w14:paraId="2C3E2E64" w14:textId="124716D3"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FD7E41F" w14:textId="28F72586" w:rsidR="001B629D" w:rsidRPr="00CC00B0" w:rsidRDefault="001B629D" w:rsidP="001B629D">
      <w:pPr>
        <w:spacing w:before="260" w:line="260" w:lineRule="exact"/>
        <w:ind w:right="72"/>
        <w:jc w:val="both"/>
        <w:textAlignment w:val="baseline"/>
        <w:rPr>
          <w:rFonts w:ascii="Arial" w:eastAsia="Arial" w:hAnsi="Arial" w:cs="Arial"/>
          <w:color w:val="000000"/>
          <w:sz w:val="20"/>
          <w:szCs w:val="20"/>
        </w:rPr>
      </w:pPr>
      <w:r>
        <w:rPr>
          <w:rFonts w:ascii="Arial" w:hAnsi="Arial"/>
          <w:color w:val="000000"/>
          <w:sz w:val="20"/>
        </w:rPr>
        <w:t>Igualmente, los «Creadores de mercado» se aseguran de que la cotización en bolsa de las participaciones del Fondo no se desvía más allá del 1,5 % de una parte y otra del Precio de referencia del Fondo, con el objetivo de respetar los límites de cotización fijados por Euronext Paris S.A. (véase la sección «</w:t>
      </w:r>
      <w:r>
        <w:rPr>
          <w:rFonts w:ascii="Arial" w:hAnsi="Arial"/>
          <w:b/>
          <w:color w:val="000000"/>
          <w:sz w:val="20"/>
        </w:rPr>
        <w:t>Precio de referencia</w:t>
      </w:r>
      <w:r>
        <w:rPr>
          <w:rFonts w:ascii="Arial" w:hAnsi="Arial"/>
          <w:color w:val="000000"/>
          <w:sz w:val="20"/>
        </w:rPr>
        <w:t>»).</w:t>
      </w:r>
    </w:p>
    <w:p w14:paraId="0852721F" w14:textId="02B3BB0B"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46D6771E" wp14:editId="5D32D8CB">
            <wp:extent cx="127000" cy="127000"/>
            <wp:effectExtent l="0" t="0" r="0" b="0"/>
            <wp:docPr id="29"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Fecha de cierre del ejercicio contable: </w:t>
      </w:r>
      <w:r>
        <w:rPr>
          <w:rFonts w:ascii="Arial" w:hAnsi="Arial"/>
          <w:color w:val="000000"/>
          <w:sz w:val="20"/>
        </w:rPr>
        <w:t>Último Día de negociación bursátil del mes de diciembre de cada año.</w:t>
      </w:r>
    </w:p>
    <w:p w14:paraId="5DF0CA9A"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p>
    <w:p w14:paraId="799970C0" w14:textId="59DDFF61"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2CA482CE" wp14:editId="67AC58F8">
            <wp:extent cx="127000" cy="127000"/>
            <wp:effectExtent l="0" t="0" r="0" b="0"/>
            <wp:docPr id="30"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Fecha de cierre del primer ejercicio: </w:t>
      </w:r>
      <w:r>
        <w:rPr>
          <w:rFonts w:ascii="Arial" w:hAnsi="Arial"/>
          <w:color w:val="000000"/>
          <w:sz w:val="20"/>
        </w:rPr>
        <w:t>Último día de negociación bursátil del mes de diciembre de 2010.</w:t>
      </w:r>
    </w:p>
    <w:p w14:paraId="0E876ACB"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p>
    <w:p w14:paraId="7C1896BB" w14:textId="4EDDCB56"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3E3AE88F" wp14:editId="1D0473DE">
            <wp:extent cx="127000" cy="127000"/>
            <wp:effectExtent l="0" t="0" r="0" b="0"/>
            <wp:docPr id="3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Régimen fiscal:</w:t>
      </w:r>
    </w:p>
    <w:p w14:paraId="565B6B7C"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0C374F1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reúne los requisitos necesarios para la contratación de un seguro de vida. Por tanto, el Fondo podrá servir de apoyo a la contratación de un seguro de vida denominado en unidades de cuenta.</w:t>
      </w:r>
    </w:p>
    <w:p w14:paraId="40E1CD1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184E95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OICVM, como tal, no tributa. No obstante, los partícipes pueden estar sujetos a tributación en concepto de ingresos distribuidos por el OICVM, si se diera el caso, o cuando cedan los títulos de este. El régimen fiscal aplicable a las cantidades distribuidas por el OICVM o a las plusvalías o minusvalías latentes o realizadas por el OICVM depende de la normativa fiscal aplicable a la situación particular del inversor, de su residencia fiscal y/o de la jurisdicción de inversión del OICVM. Si el inversor no está seguro de su situación fiscal, antes de realizar cualquier inversión, debe acudir a un asesor fiscal o a un profesional a fin de determinar las reglas fiscales aplicables a su situación particular. Algunos de los ingresos distribuidos por el OICVM a no residentes en Francia son susceptibles de soportar en este Estado una retención en origen. </w:t>
      </w:r>
    </w:p>
    <w:p w14:paraId="52F91C4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Alemania: el Fondo se invertirá permanentemente al menos en un 90% en acciones cotizadas. A los efectos de la interpretación de esta relación, las acciones emitidas por REIT (según lo definido por el Ministerio de Finanzas alemán) u OIC no se consideran acciones. </w:t>
      </w:r>
    </w:p>
    <w:p w14:paraId="39BEAFE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Consideraciones sobre la fiscalidad estadounidense</w:t>
      </w:r>
    </w:p>
    <w:p w14:paraId="636FF2A8"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normativa </w:t>
      </w:r>
      <w:proofErr w:type="spellStart"/>
      <w:r>
        <w:rPr>
          <w:rFonts w:ascii="Arial" w:hAnsi="Arial"/>
          <w:color w:val="000000"/>
          <w:sz w:val="20"/>
        </w:rPr>
        <w:t>Foreign</w:t>
      </w:r>
      <w:proofErr w:type="spellEnd"/>
      <w:r>
        <w:rPr>
          <w:rFonts w:ascii="Arial" w:hAnsi="Arial"/>
          <w:color w:val="000000"/>
          <w:sz w:val="20"/>
        </w:rPr>
        <w:t xml:space="preserve"> </w:t>
      </w:r>
      <w:proofErr w:type="spellStart"/>
      <w:r>
        <w:rPr>
          <w:rFonts w:ascii="Arial" w:hAnsi="Arial"/>
          <w:color w:val="000000"/>
          <w:sz w:val="20"/>
        </w:rPr>
        <w:t>Account</w:t>
      </w:r>
      <w:proofErr w:type="spellEnd"/>
      <w:r>
        <w:rPr>
          <w:rFonts w:ascii="Arial" w:hAnsi="Arial"/>
          <w:color w:val="000000"/>
          <w:sz w:val="20"/>
        </w:rPr>
        <w:t xml:space="preserve"> </w:t>
      </w:r>
      <w:proofErr w:type="spellStart"/>
      <w:r>
        <w:rPr>
          <w:rFonts w:ascii="Arial" w:hAnsi="Arial"/>
          <w:color w:val="000000"/>
          <w:sz w:val="20"/>
        </w:rPr>
        <w:t>Tax</w:t>
      </w:r>
      <w:proofErr w:type="spellEnd"/>
      <w:r>
        <w:rPr>
          <w:rFonts w:ascii="Arial" w:hAnsi="Arial"/>
          <w:color w:val="000000"/>
          <w:sz w:val="20"/>
        </w:rPr>
        <w:t xml:space="preserve"> Compliance </w:t>
      </w:r>
      <w:proofErr w:type="spellStart"/>
      <w:r>
        <w:rPr>
          <w:rFonts w:ascii="Arial" w:hAnsi="Arial"/>
          <w:color w:val="000000"/>
          <w:sz w:val="20"/>
        </w:rPr>
        <w:t>Act</w:t>
      </w:r>
      <w:proofErr w:type="spellEnd"/>
      <w:r>
        <w:rPr>
          <w:rFonts w:ascii="Arial" w:hAnsi="Arial"/>
          <w:color w:val="000000"/>
          <w:sz w:val="20"/>
        </w:rPr>
        <w:t xml:space="preserve">, conocida como FATCA por sus siglas en inglés, de la ley estadounidense </w:t>
      </w:r>
      <w:proofErr w:type="spellStart"/>
      <w:r>
        <w:rPr>
          <w:rFonts w:ascii="Arial" w:hAnsi="Arial"/>
          <w:color w:val="000000"/>
          <w:sz w:val="20"/>
        </w:rPr>
        <w:t>Hire</w:t>
      </w:r>
      <w:proofErr w:type="spellEnd"/>
      <w:r>
        <w:rPr>
          <w:rFonts w:ascii="Arial" w:hAnsi="Arial"/>
          <w:color w:val="000000"/>
          <w:sz w:val="20"/>
        </w:rPr>
        <w:t xml:space="preserve"> Incentive </w:t>
      </w:r>
      <w:proofErr w:type="spellStart"/>
      <w:r>
        <w:rPr>
          <w:rFonts w:ascii="Arial" w:hAnsi="Arial"/>
          <w:color w:val="000000"/>
          <w:sz w:val="20"/>
        </w:rPr>
        <w:t>to</w:t>
      </w:r>
      <w:proofErr w:type="spellEnd"/>
      <w:r>
        <w:rPr>
          <w:rFonts w:ascii="Arial" w:hAnsi="Arial"/>
          <w:color w:val="000000"/>
          <w:sz w:val="20"/>
        </w:rPr>
        <w:t xml:space="preserve"> </w:t>
      </w:r>
      <w:proofErr w:type="spellStart"/>
      <w:r>
        <w:rPr>
          <w:rFonts w:ascii="Arial" w:hAnsi="Arial"/>
          <w:color w:val="000000"/>
          <w:sz w:val="20"/>
        </w:rPr>
        <w:t>Restore</w:t>
      </w:r>
      <w:proofErr w:type="spellEnd"/>
      <w:r>
        <w:rPr>
          <w:rFonts w:ascii="Arial" w:hAnsi="Arial"/>
          <w:color w:val="000000"/>
          <w:sz w:val="20"/>
        </w:rPr>
        <w:t xml:space="preserve"> </w:t>
      </w:r>
      <w:proofErr w:type="spellStart"/>
      <w:r>
        <w:rPr>
          <w:rFonts w:ascii="Arial" w:hAnsi="Arial"/>
          <w:color w:val="000000"/>
          <w:sz w:val="20"/>
        </w:rPr>
        <w:t>Employment</w:t>
      </w:r>
      <w:proofErr w:type="spellEnd"/>
      <w:r>
        <w:rPr>
          <w:rFonts w:ascii="Arial" w:hAnsi="Arial"/>
          <w:color w:val="000000"/>
          <w:sz w:val="20"/>
        </w:rPr>
        <w:t>, o HIRE, exige que las instituciones financieras no estadounidenses (entidades financieras extranjeras o FFI) comuniquen al Organismo de Administración Tributaria estadounidense (el IRS) la información financiera relativa a los activos que poseen los ciudadanos fiscales estadounidenses</w:t>
      </w:r>
      <w:r w:rsidRPr="00AB6A6B">
        <w:rPr>
          <w:rStyle w:val="FootnoteReference"/>
        </w:rPr>
        <w:footnoteReference w:id="1"/>
      </w:r>
      <w:r>
        <w:rPr>
          <w:rFonts w:ascii="Arial" w:hAnsi="Arial"/>
          <w:color w:val="000000"/>
          <w:sz w:val="20"/>
        </w:rPr>
        <w:t xml:space="preserve"> fuera de los Estados Unidos.</w:t>
      </w:r>
    </w:p>
    <w:p w14:paraId="58BD15E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Según la normativa FATCA, cualquier institución financiera que posea valores estadounidenses que no se rija o no esté calificada conforme a la disposición de ley FATCA estará sujeta a una retención fiscal a cuenta del 30 % sobre (i) determinados ingresos de origen estadounidense y (</w:t>
      </w:r>
      <w:proofErr w:type="spellStart"/>
      <w:r>
        <w:rPr>
          <w:rFonts w:ascii="Arial" w:hAnsi="Arial"/>
          <w:color w:val="000000"/>
          <w:sz w:val="20"/>
        </w:rPr>
        <w:t>ii</w:t>
      </w:r>
      <w:proofErr w:type="spellEnd"/>
      <w:r>
        <w:rPr>
          <w:rFonts w:ascii="Arial" w:hAnsi="Arial"/>
          <w:color w:val="000000"/>
          <w:sz w:val="20"/>
        </w:rPr>
        <w:t>) el producto bruto obtenido de la venta o la cesión de activos estadounidenses.</w:t>
      </w:r>
    </w:p>
    <w:p w14:paraId="68FD6CCB"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entra en el ámbito de aplicación de FATCA y, por consiguiente, podrá exigir a los partícipes determinada información obligatoria.</w:t>
      </w:r>
    </w:p>
    <w:p w14:paraId="5D43A4F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Estados Unidos ha alcanzado un acuerdo intergubernamental para hacer efectiva la aplicación de la ley FATCA con varios Gobiernos. El Gobierno francés y el estadounidense han firmado un acuerdo intergubernamental («IGA») a este respecto.</w:t>
      </w:r>
    </w:p>
    <w:p w14:paraId="071BEC2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El Fondo cumple «el modelo 1 del IGA» formalizado entre Francia y los Estados Unidos de América. Ni el Fondo ni ningún compartimento estarán sujetos a ninguna retención fiscal de FATCA.</w:t>
      </w:r>
    </w:p>
    <w:p w14:paraId="553E460A"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ley FATCA exige que el Fondo recopile determinada información sobre la identidad (incluidos los detalles de derecho de propiedad, de tenencia y de distribución) de los titulares de cuentas que son residentes fiscales estadounidenses, las entidades que controlan a los residentes fiscales, tanto los estadounidenses como los no estadounidenses, que no cumplen con las disposiciones FATCA o que no proporcionan toda la información exacta, completa y precisa requerida en virtud del acuerdo intergubernamental «IGA».</w:t>
      </w:r>
    </w:p>
    <w:p w14:paraId="5111D33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 este respecto, cada partícipe potencial se compromete a aportar toda la información (incluido, entre otros, el número GIIN) exigida por el Fondo, su entidad delegada o el distribuidor.</w:t>
      </w:r>
    </w:p>
    <w:p w14:paraId="33E18A5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partícipes potenciales informarán de manera inmediata y por escrito al Fondo, a su entidad delegada o al distribuidor de cualquier cambio de las circunstancias de su condición FATCA o de su número GIIN.</w:t>
      </w:r>
    </w:p>
    <w:p w14:paraId="6E8470B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virtud del IGA, dicha información se debe comunicar a las autoridades fiscales francesas, que pueden, a su vez, compartirla con el IRS u otras autoridades fiscales.</w:t>
      </w:r>
    </w:p>
    <w:p w14:paraId="69E4D8C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Los inversores que no hayan documentado su condición FATCA adecuadamente o que se hayan negado a revelar su condición FATCA o la información necesaria en el plazo exigido podrían ser clasificados como «recalcitrantes» y ser objeto de una declaración por parte del Fondo o la Sociedad Gestora a las autoridades fiscales o gubernamentales competentes.</w:t>
      </w:r>
    </w:p>
    <w:p w14:paraId="0B5DEC7E"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Para evitar los posibles efectos resultantes del mecanismo «</w:t>
      </w:r>
      <w:proofErr w:type="spellStart"/>
      <w:r>
        <w:rPr>
          <w:rFonts w:ascii="Arial" w:hAnsi="Arial"/>
          <w:color w:val="000000"/>
          <w:sz w:val="20"/>
        </w:rPr>
        <w:t>Foreign</w:t>
      </w:r>
      <w:proofErr w:type="spellEnd"/>
      <w:r>
        <w:rPr>
          <w:rFonts w:ascii="Arial" w:hAnsi="Arial"/>
          <w:color w:val="000000"/>
          <w:sz w:val="20"/>
        </w:rPr>
        <w:t xml:space="preserve"> </w:t>
      </w:r>
      <w:proofErr w:type="spellStart"/>
      <w:r>
        <w:rPr>
          <w:rFonts w:ascii="Arial" w:hAnsi="Arial"/>
          <w:color w:val="000000"/>
          <w:sz w:val="20"/>
        </w:rPr>
        <w:t>Passthru</w:t>
      </w:r>
      <w:proofErr w:type="spellEnd"/>
      <w:r>
        <w:rPr>
          <w:rFonts w:ascii="Arial" w:hAnsi="Arial"/>
          <w:color w:val="000000"/>
          <w:sz w:val="20"/>
        </w:rPr>
        <w:t xml:space="preserve"> </w:t>
      </w:r>
      <w:proofErr w:type="spellStart"/>
      <w:r>
        <w:rPr>
          <w:rFonts w:ascii="Arial" w:hAnsi="Arial"/>
          <w:color w:val="000000"/>
          <w:sz w:val="20"/>
        </w:rPr>
        <w:t>Payment</w:t>
      </w:r>
      <w:proofErr w:type="spellEnd"/>
      <w:r>
        <w:rPr>
          <w:rFonts w:ascii="Arial" w:hAnsi="Arial"/>
          <w:color w:val="000000"/>
          <w:sz w:val="20"/>
        </w:rPr>
        <w:t>» (pagos subrogados mediante intermediarios extranjeros) e impedir cualquier retención fiscal a cuenta sobre dichos pagos, el Fondo o su entidad delegada se reservan el derecho de prohibir cualquier inversión en el Fondo o la venta de participaciones o acciones a cualquier FFI no participante, «NPFFI»</w:t>
      </w:r>
      <w:r w:rsidRPr="00AB6A6B">
        <w:rPr>
          <w:rStyle w:val="FootnoteReference"/>
        </w:rPr>
        <w:footnoteReference w:id="2"/>
      </w:r>
      <w:r>
        <w:rPr>
          <w:rFonts w:ascii="Arial" w:hAnsi="Arial"/>
          <w:color w:val="000000"/>
          <w:sz w:val="20"/>
        </w:rPr>
        <w:t>, especialmente cuando tal prohibición se considere legítima y justificada por la protección de los intereses generales de los inversores del Fondo.</w:t>
      </w:r>
    </w:p>
    <w:p w14:paraId="2D466435"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y su representante legal, el depositario del Fondo y el agente de transferencias se reservan el derecho, de forma discrecional, de prevenir o remediar la adquisición y/o la tenencia directa o indirecta de participaciones del Fondo para todos los inversores que violen las leyes y normativas aplicables, o cuando su presencia en el Fondo pueda conllevar consecuencias perjudiciales para el Fondo o para el resto de inversores, incluyendo, entre otras, las sanciones FATCA.</w:t>
      </w:r>
    </w:p>
    <w:p w14:paraId="007F1535"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Con este fin, el Fondo podrá proceder al rechazo de cualquier suscripción o exigir el reembolso forzoso de las participaciones o acciones del Fondo conforme a las condiciones establecidas en el artículo 3 de la normativa del Fondo</w:t>
      </w:r>
      <w:r w:rsidRPr="00AB6A6B">
        <w:rPr>
          <w:rStyle w:val="FootnoteReference"/>
        </w:rPr>
        <w:footnoteReference w:id="3"/>
      </w:r>
      <w:r>
        <w:rPr>
          <w:rFonts w:ascii="Arial" w:hAnsi="Arial"/>
          <w:color w:val="000000"/>
          <w:sz w:val="20"/>
        </w:rPr>
        <w:t>.</w:t>
      </w:r>
    </w:p>
    <w:p w14:paraId="265D3E7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ley FATCA es relativamente reciente y su aplicación efectiva está en proceso de desarrollo. Aunque la información expuesta anteriormente resume la comprensión actual de la Sociedad Gestora, puede que esta comprensión no sea correcta, o que la forma de aplicación de la FATCA pueda cambiar para someter a determinados inversores o a todos ellos a una deducción fiscal del 30%».</w:t>
      </w:r>
    </w:p>
    <w:p w14:paraId="6232152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Estas disposiciones no constituyen un análisis completo de todas las normas y consideraciones fiscales ni asesoramiento fiscal, y no deberán interpretarse como un listado exhaustivo de todos los riesgos fiscales posibles inherentes a la suscripción o a la tenencia de participaciones o acciones del Fondo. Todo inversor deberá consultar a su asesor habitual sobre las cuestiones relacionadas con la fiscalidad y las posibles consecuencias de la suscripción, tenencia y reembolso de participaciones o acciones en virtud de las leyes a las que puede estar sujeto el inversor, incluida la aplicación del régimen de declaración o de retención en origen en virtud de la FATCA por lo que respecta a su inversión en el Fondo.</w:t>
      </w:r>
    </w:p>
    <w:p w14:paraId="366247CE" w14:textId="31A7A839"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74F899FA" wp14:editId="5E02EF6A">
            <wp:extent cx="127000" cy="127000"/>
            <wp:effectExtent l="0" t="0" r="0" b="0"/>
            <wp:docPr id="32"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Intercambio automático de información fiscal (normativa del ECCI):</w:t>
      </w:r>
    </w:p>
    <w:p w14:paraId="736988B1"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p>
    <w:p w14:paraId="32ADECDB"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Francia ha firmado acuerdos multilaterales en materia de intercambio automático de información relativa a cuentas financieras, sobre la base del «Estándar Común de Declaración» (CRS), que incluye medidas como las adoptadas por la Organización para la Cooperación y el Desarrollo Económicos («OCDE»).</w:t>
      </w:r>
    </w:p>
    <w:p w14:paraId="55645F7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Según la ley relativa al CRS, el Fondo o la Sociedad Gestora deben proporcionar a las autoridades fiscales locales determinada información sobre los Partícipes que no residen en Francia. Dicha información se comunicará de forma inmediata a las autoridades fiscales competentes.</w:t>
      </w:r>
    </w:p>
    <w:p w14:paraId="06AED37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información que se debe comunicar a las autoridades fiscales incluye datos como el nombre, la dirección, el número de identificación fiscal (NIF), la fecha de nacimiento, el lugar de nacimiento (si figura en los registros de la institución financiera), el número de cuenta, el saldo de la cuenta o, si procede, su valor a final de año y los pagos registrados en la cuenta durante el año natural.</w:t>
      </w:r>
    </w:p>
    <w:p w14:paraId="7BF2318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Cada inversor acepta facilitar al Fondo, a la Sociedad Gestora o los distribuidores la información y la documentación indicadas por la ley (incluida, entre otros, la </w:t>
      </w:r>
      <w:proofErr w:type="spellStart"/>
      <w:r>
        <w:rPr>
          <w:rFonts w:ascii="Arial" w:hAnsi="Arial"/>
          <w:color w:val="000000"/>
          <w:sz w:val="20"/>
        </w:rPr>
        <w:t>autocertificación</w:t>
      </w:r>
      <w:proofErr w:type="spellEnd"/>
      <w:r>
        <w:rPr>
          <w:rFonts w:ascii="Arial" w:hAnsi="Arial"/>
          <w:color w:val="000000"/>
          <w:sz w:val="20"/>
        </w:rPr>
        <w:t>), junto con toda la documentación adicional que razonablemente se pueda solicitar por ser necesaria para el cumplimiento de sus obligaciones de declaración en virtud de las normas de CRS.</w:t>
      </w:r>
    </w:p>
    <w:p w14:paraId="1563BB1A"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Para obtener más información sobre las normas del ECCI, consulte los sitios web de la OCDE y las autoridades de los Estados que han firmado el acuerdo.</w:t>
      </w:r>
    </w:p>
    <w:p w14:paraId="2E0D960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Todo aquel partícipe que haga caso omiso a las solicitudes de información o documentación del Fondo:</w:t>
      </w:r>
    </w:p>
    <w:p w14:paraId="5A40A21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(i) puede ser considerado responsable de sanciones impuestas al Fondo y que son imputables si el partícipe no proporciona la documentación solicitada, o si facilita una documentación incompleta o incorrecta, y (</w:t>
      </w:r>
      <w:proofErr w:type="spellStart"/>
      <w:r>
        <w:rPr>
          <w:rFonts w:ascii="Arial" w:hAnsi="Arial"/>
          <w:color w:val="000000"/>
          <w:sz w:val="20"/>
        </w:rPr>
        <w:t>ii</w:t>
      </w:r>
      <w:proofErr w:type="spellEnd"/>
      <w:r>
        <w:rPr>
          <w:rFonts w:ascii="Arial" w:hAnsi="Arial"/>
          <w:color w:val="000000"/>
          <w:sz w:val="20"/>
        </w:rPr>
        <w:t>) se informará a las autoridades competentes si no ha facilitado la información necesaria para la identificación de su residencia fiscal y su número de identificación fiscal.</w:t>
      </w:r>
    </w:p>
    <w:p w14:paraId="7C97449D" w14:textId="77777777" w:rsidR="00A714AF" w:rsidRPr="001A60BE" w:rsidRDefault="00A714AF" w:rsidP="00A714AF">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NORMAS MÍNIMAS Y POLÍTICA DE EXCLUSIÓN</w:t>
      </w:r>
    </w:p>
    <w:p w14:paraId="52302954" w14:textId="7777777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Sociedad de gestión aplica una política de inversión responsable que consiste en una política de exclusiones específicas en función de la estrategia de inversión de un fondo determinado (según se describe en la sección «Estrategia de inversión», cuando proceda).</w:t>
      </w:r>
    </w:p>
    <w:p w14:paraId="1CAE63BE" w14:textId="7777777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principales incidencias adversas de las decisiones de inversión, según lo establecido en el Reglamento (UE) 2019/2088 sobre la divulgación de información relativa a la sostenibilidad en el sector de los servicios financieros (en adelante, el «Reglamento de divulgación»), son las consecuencias negativas significativas o potencialmente significativas que pueden sufrir los factores de sostenibilidad, y que se producen o se ven agravadas por las decisiones de inversión o están directamente relacionadas con ellas. En el anexo 1 del Reglamento Delegado del Reglamento de divulgación se enumeran los indicadores de las principales incidencias adversas.</w:t>
      </w:r>
    </w:p>
    <w:p w14:paraId="69353CE6" w14:textId="7777777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Asimismo, la Sociedad de gestión puede considerar las principales incidencias adversas a través de su política de exclusiones normativas. Si procede, solo se tiene en cuenta el indicador 14, exposición a armas controvertidas (minas antipersonas, municiones en racimo, armas químicas y armas biológicas). En el proceso de inversión de los fondos pertinentes, no se tienen en cuenta otros indicadores ni la calificación ESG de los emisores.</w:t>
      </w:r>
    </w:p>
    <w:p w14:paraId="3A6E2B55" w14:textId="62F4DCA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Puede encontrar información más detallada sobre las principales incidencias adversas en la declaración ESG reglamentaria de la Sociedad de gestión, disponible en su sitio web: </w:t>
      </w:r>
      <w:hyperlink r:id="rId17" w:history="1">
        <w:r>
          <w:rPr>
            <w:rStyle w:val="Hyperlink"/>
            <w:rFonts w:ascii="Arial" w:hAnsi="Arial"/>
            <w:sz w:val="20"/>
          </w:rPr>
          <w:t>www.amundi.com</w:t>
        </w:r>
      </w:hyperlink>
    </w:p>
    <w:p w14:paraId="088121D7" w14:textId="37F0B436" w:rsidR="00A714AF" w:rsidRPr="003676CD" w:rsidRDefault="00A714AF" w:rsidP="00034B9E">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inversiones subyacentes a este producto financiero no tienen en cuenta los criterios de la UE relativos las actividades económicas medioambientalmente sostenibles.</w:t>
      </w:r>
    </w:p>
    <w:p w14:paraId="5CFBFC49" w14:textId="7777777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recuerda a los inversores que el deber fiduciario y la obligación reglamentaria en materia de gestión pasiva consisten en replicar un índice de la forma más fiel posible.</w:t>
      </w:r>
    </w:p>
    <w:p w14:paraId="4A0A6BCA" w14:textId="77777777" w:rsidR="00A714AF" w:rsidRPr="001A60BE" w:rsidRDefault="00A714AF" w:rsidP="00A714AF">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Por lo tanto, la Sociedad de gestión debe respetar el objetivo contractual de ofrecer una exposición pasiva conforme al índice replicado.</w:t>
      </w:r>
    </w:p>
    <w:p w14:paraId="66B6C0B5" w14:textId="4602D080" w:rsidR="00034B9E" w:rsidRDefault="00A714AF" w:rsidP="00857814">
      <w:pPr>
        <w:autoSpaceDE w:val="0"/>
        <w:autoSpaceDN w:val="0"/>
        <w:adjustRightInd w:val="0"/>
        <w:spacing w:before="200" w:after="0" w:line="240" w:lineRule="auto"/>
        <w:rPr>
          <w:rFonts w:ascii="Arial" w:hAnsi="Arial" w:cs="Arial"/>
          <w:b/>
          <w:bCs/>
          <w:color w:val="000000"/>
          <w:kern w:val="0"/>
          <w:u w:val="single"/>
        </w:rPr>
      </w:pPr>
      <w:r>
        <w:rPr>
          <w:rFonts w:ascii="Arial" w:hAnsi="Arial"/>
          <w:color w:val="000000"/>
          <w:sz w:val="20"/>
        </w:rPr>
        <w:t>En consecuencia, la Sociedad de gestión podrá verse obligada a invertir o mantener inversiones en valores incluidos en un índice y afectados por acontecimientos controvertidos graves, riesgos agudos en materia de sostenibilidad o que tengan un impacto negativo significativo en los factores de sostenibilidad, cuando dichos acontecimientos puedan dar lugar a la exclusión de esos mismos valores de los fondos gestionados activamente o de los ETF ESG de Amundi.</w:t>
      </w:r>
    </w:p>
    <w:p w14:paraId="5C146A6E" w14:textId="77777777" w:rsidR="00A9323A" w:rsidRPr="00A9323A" w:rsidRDefault="00A9323A">
      <w:pPr>
        <w:rPr>
          <w:rFonts w:ascii="Arial" w:hAnsi="Arial" w:cs="Arial"/>
          <w:b/>
          <w:bCs/>
          <w:color w:val="000000"/>
          <w:kern w:val="0"/>
        </w:rPr>
      </w:pPr>
      <w:r>
        <w:br w:type="page"/>
      </w:r>
    </w:p>
    <w:p w14:paraId="08EE6564" w14:textId="13EBE748" w:rsidR="00DC3D49" w:rsidRDefault="00DC3D49">
      <w:pPr>
        <w:autoSpaceDE w:val="0"/>
        <w:autoSpaceDN w:val="0"/>
        <w:adjustRightInd w:val="0"/>
        <w:spacing w:before="200" w:after="0" w:line="240" w:lineRule="auto"/>
        <w:rPr>
          <w:rFonts w:ascii="Arial" w:hAnsi="Arial" w:cs="Arial"/>
          <w:b/>
          <w:bCs/>
          <w:color w:val="000000"/>
          <w:kern w:val="0"/>
          <w:u w:val="single"/>
        </w:rPr>
      </w:pPr>
      <w:r>
        <w:rPr>
          <w:rFonts w:ascii="Arial" w:hAnsi="Arial"/>
          <w:b/>
          <w:color w:val="000000"/>
          <w:u w:val="single"/>
        </w:rPr>
        <w:lastRenderedPageBreak/>
        <w:t>III.2 Disposiciones particulares</w:t>
      </w:r>
    </w:p>
    <w:p w14:paraId="3CB46F57" w14:textId="568CF2BB"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0037F878" wp14:editId="0FAC0D75">
            <wp:extent cx="127000" cy="127000"/>
            <wp:effectExtent l="0" t="0" r="0" b="0"/>
            <wp:docPr id="33"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Clasificación: </w:t>
      </w:r>
    </w:p>
    <w:p w14:paraId="7BFAE36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Renta variable internacional.</w:t>
      </w:r>
    </w:p>
    <w:p w14:paraId="62F2D70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es un fondo indexado.</w:t>
      </w:r>
    </w:p>
    <w:p w14:paraId="19304E69" w14:textId="02D5703C"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E43D5C1" wp14:editId="3456D927">
            <wp:extent cx="127000" cy="127000"/>
            <wp:effectExtent l="0" t="0" r="0" b="0"/>
            <wp:docPr id="34"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Objetivo de gestión: </w:t>
      </w:r>
    </w:p>
    <w:p w14:paraId="526A346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objetivo de gestión del Fondo es replicar, lo más fielmente posible, la rentabilidad del índice 100% STOXX 50 (EUROPE) (véase la sección «Indicador de referencia») sea cual sea su evolución: positiva o negativa.</w:t>
      </w:r>
    </w:p>
    <w:p w14:paraId="4F69E30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C3794E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objetivo de la gestión es obtener una desviación entre la evolución del valor liquidativo del Fondo y la del índice 100% STOXX 50 (EUROPE) (en adelante el «Índice 100% STOXX 50 (EUROPE)») lo más pequeña posible. De este modo, el objetivo máximo de desviación («tracking error») entre la evolución del valor liquidativo del Fondo y el del Índice 100% STOXX 50 (EUROPE) es del 2 %.</w:t>
      </w:r>
    </w:p>
    <w:p w14:paraId="6B584A7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Si a pesar de todo el «tracking error» supera el 2 %, le objetivo será permanecer al menos en un nivel inferior al 15 % de la volatilidad del Índice 100% STOXX 50 (EUROPE).</w:t>
      </w:r>
    </w:p>
    <w:p w14:paraId="352CB9CD" w14:textId="45EAEED5"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0B6C35DE" wp14:editId="603E024B">
            <wp:extent cx="127000" cy="127000"/>
            <wp:effectExtent l="0" t="0" r="0" b="0"/>
            <wp:docPr id="35"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Indicador de referencia:</w:t>
      </w:r>
    </w:p>
    <w:p w14:paraId="3CEF1DE0"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El indicador de referencia del Fondo es el Índice STOXX® </w:t>
      </w:r>
      <w:proofErr w:type="spellStart"/>
      <w:r>
        <w:rPr>
          <w:rFonts w:ascii="Arial" w:hAnsi="Arial"/>
          <w:color w:val="000000"/>
          <w:sz w:val="20"/>
        </w:rPr>
        <w:t>Europe</w:t>
      </w:r>
      <w:proofErr w:type="spellEnd"/>
      <w:r>
        <w:rPr>
          <w:rFonts w:ascii="Arial" w:hAnsi="Arial"/>
          <w:color w:val="000000"/>
          <w:sz w:val="20"/>
        </w:rPr>
        <w:t xml:space="preserve"> 50, dividendos netos reinvertidos (total net </w:t>
      </w:r>
      <w:proofErr w:type="spellStart"/>
      <w:r>
        <w:rPr>
          <w:rFonts w:ascii="Arial" w:hAnsi="Arial"/>
          <w:color w:val="000000"/>
          <w:sz w:val="20"/>
        </w:rPr>
        <w:t>return</w:t>
      </w:r>
      <w:proofErr w:type="spellEnd"/>
      <w:r>
        <w:rPr>
          <w:rFonts w:ascii="Arial" w:hAnsi="Arial"/>
          <w:color w:val="000000"/>
          <w:sz w:val="20"/>
        </w:rPr>
        <w:t>), denominado en euros.</w:t>
      </w:r>
    </w:p>
    <w:p w14:paraId="3C59DE3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EAD99A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STOXX </w:t>
      </w:r>
      <w:proofErr w:type="spellStart"/>
      <w:r>
        <w:rPr>
          <w:rFonts w:ascii="Arial" w:hAnsi="Arial"/>
          <w:color w:val="000000"/>
          <w:sz w:val="20"/>
        </w:rPr>
        <w:t>Europe</w:t>
      </w:r>
      <w:proofErr w:type="spellEnd"/>
      <w:r>
        <w:rPr>
          <w:rFonts w:ascii="Arial" w:hAnsi="Arial"/>
          <w:color w:val="000000"/>
          <w:sz w:val="20"/>
        </w:rPr>
        <w:t xml:space="preserve"> 50 es un índice de acciones calculado y publicado por el proveedor de índices internacionales STOXX Ltd. («STOXX»). El Índice STOXX </w:t>
      </w:r>
      <w:proofErr w:type="spellStart"/>
      <w:r>
        <w:rPr>
          <w:rFonts w:ascii="Arial" w:hAnsi="Arial"/>
          <w:color w:val="000000"/>
          <w:sz w:val="20"/>
        </w:rPr>
        <w:t>Europe</w:t>
      </w:r>
      <w:proofErr w:type="spellEnd"/>
      <w:r>
        <w:rPr>
          <w:rFonts w:ascii="Arial" w:hAnsi="Arial"/>
          <w:color w:val="000000"/>
          <w:sz w:val="20"/>
        </w:rPr>
        <w:t xml:space="preserve"> 50 es un subconjunto del índice STOXX® 600. Está compuesto por los 50 valores más importantes de 18 países europeos. Los valores del índice abarcan todos los sectores de la economía y se seleccionan según su nivel de capitalización bursátil, su liquidez y su peso sectorial.</w:t>
      </w:r>
    </w:p>
    <w:p w14:paraId="44ED4B3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E6ADD0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STOXX </w:t>
      </w:r>
      <w:proofErr w:type="spellStart"/>
      <w:r>
        <w:rPr>
          <w:rFonts w:ascii="Arial" w:hAnsi="Arial"/>
          <w:color w:val="000000"/>
          <w:sz w:val="20"/>
        </w:rPr>
        <w:t>Europe</w:t>
      </w:r>
      <w:proofErr w:type="spellEnd"/>
      <w:r>
        <w:rPr>
          <w:rFonts w:ascii="Arial" w:hAnsi="Arial"/>
          <w:color w:val="000000"/>
          <w:sz w:val="20"/>
        </w:rPr>
        <w:t xml:space="preserve"> 50 cubre aproximadamente el 60 % de la capitalización bursátil ajustada al capital flotante de los mercados europeos representados por el índice STOXX 600. </w:t>
      </w:r>
    </w:p>
    <w:p w14:paraId="44AF7A1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AEC996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Para una sociedad que cotiza en bolsa, el capital flotante corresponde a la fracción de las acciones fácilmente intercambiables en bolsa, en oposición a las acciones consideradas estables (autocontrol, acciones que poseen los fundadores o el estado, bloques de control, etc.).</w:t>
      </w:r>
    </w:p>
    <w:p w14:paraId="01C6E43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62D978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índice STOXX </w:t>
      </w:r>
      <w:proofErr w:type="spellStart"/>
      <w:r>
        <w:rPr>
          <w:rFonts w:ascii="Arial" w:hAnsi="Arial"/>
          <w:color w:val="000000"/>
          <w:sz w:val="20"/>
        </w:rPr>
        <w:t>Europe</w:t>
      </w:r>
      <w:proofErr w:type="spellEnd"/>
      <w:r>
        <w:rPr>
          <w:rFonts w:ascii="Arial" w:hAnsi="Arial"/>
          <w:color w:val="000000"/>
          <w:sz w:val="20"/>
        </w:rPr>
        <w:t xml:space="preserve"> 50 comprendía el 28 de noviembre de 2014* los valores de los siguientes 8 países europeos: Alemania, Bélgica, España, Francia, Italia, Países Bajos, Reino Unido y Suiza.</w:t>
      </w:r>
    </w:p>
    <w:p w14:paraId="5E1ADA7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73B7EC3" w14:textId="77777777" w:rsidR="00DC3D49" w:rsidRDefault="00DC3D49">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 Fuente STOXX</w:t>
      </w:r>
    </w:p>
    <w:p w14:paraId="507AEAE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691DD7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metodología STOXX y su método de cálculo implican un número variable de sociedades que constituyen el Índice STOXX </w:t>
      </w:r>
      <w:proofErr w:type="spellStart"/>
      <w:r>
        <w:rPr>
          <w:rFonts w:ascii="Arial" w:hAnsi="Arial"/>
          <w:color w:val="000000"/>
          <w:sz w:val="20"/>
        </w:rPr>
        <w:t>Europe</w:t>
      </w:r>
      <w:proofErr w:type="spellEnd"/>
      <w:r>
        <w:rPr>
          <w:rFonts w:ascii="Arial" w:hAnsi="Arial"/>
          <w:color w:val="000000"/>
          <w:sz w:val="20"/>
        </w:rPr>
        <w:t xml:space="preserve"> 50. </w:t>
      </w:r>
    </w:p>
    <w:p w14:paraId="42B58845" w14:textId="44923B72"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metodología completa de construcción del Índice STOXX </w:t>
      </w:r>
      <w:proofErr w:type="spellStart"/>
      <w:r>
        <w:rPr>
          <w:rFonts w:ascii="Arial" w:hAnsi="Arial"/>
          <w:color w:val="000000"/>
          <w:sz w:val="20"/>
        </w:rPr>
        <w:t>Europe</w:t>
      </w:r>
      <w:proofErr w:type="spellEnd"/>
      <w:r>
        <w:rPr>
          <w:rFonts w:ascii="Arial" w:hAnsi="Arial"/>
          <w:color w:val="000000"/>
          <w:sz w:val="20"/>
        </w:rPr>
        <w:t xml:space="preserve"> 50 está disponible en el sitio web de STOXX: stoxx.com.</w:t>
      </w:r>
    </w:p>
    <w:p w14:paraId="4939A57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38EB83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rentabilidad que se persigue es la de las cotizaciones de cierre del Índice STOXX </w:t>
      </w:r>
      <w:proofErr w:type="spellStart"/>
      <w:r>
        <w:rPr>
          <w:rFonts w:ascii="Arial" w:hAnsi="Arial"/>
          <w:color w:val="000000"/>
          <w:sz w:val="20"/>
        </w:rPr>
        <w:t>Europe</w:t>
      </w:r>
      <w:proofErr w:type="spellEnd"/>
      <w:r>
        <w:rPr>
          <w:rFonts w:ascii="Arial" w:hAnsi="Arial"/>
          <w:color w:val="000000"/>
          <w:sz w:val="20"/>
        </w:rPr>
        <w:t xml:space="preserve"> 50.</w:t>
      </w:r>
    </w:p>
    <w:p w14:paraId="553E60A9" w14:textId="0C7D3D63"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515B44F6" wp14:editId="51503139">
            <wp:extent cx="127000" cy="127000"/>
            <wp:effectExtent l="0" t="0" r="0" b="0"/>
            <wp:docPr id="3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Publicación del Índice 100% STOXX 50 (EUROPE)</w:t>
      </w:r>
    </w:p>
    <w:p w14:paraId="3F6CD218"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El índice STOXX </w:t>
      </w:r>
      <w:proofErr w:type="spellStart"/>
      <w:r>
        <w:rPr>
          <w:rFonts w:ascii="Arial" w:hAnsi="Arial"/>
          <w:color w:val="000000"/>
          <w:sz w:val="20"/>
        </w:rPr>
        <w:t>Europe</w:t>
      </w:r>
      <w:proofErr w:type="spellEnd"/>
      <w:r>
        <w:rPr>
          <w:rFonts w:ascii="Arial" w:hAnsi="Arial"/>
          <w:color w:val="000000"/>
          <w:sz w:val="20"/>
        </w:rPr>
        <w:t xml:space="preserve"> 50 se calcula al precio de cierre utilizando las cotizaciones de cierre oficiales de las bolsas en las que cotizan los títulos que componen el índice.</w:t>
      </w:r>
    </w:p>
    <w:p w14:paraId="4CC4CC11"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cotización de cierre del Índice 100% STOXX 50 (EUROPE) está disponible en el sitio web de STOXX: stoxx.com.</w:t>
      </w:r>
    </w:p>
    <w:p w14:paraId="34D590DA"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El índice 100% STOXX 50 (EUROPE) también se calcula cada Día bursátil laborable.</w:t>
      </w:r>
    </w:p>
    <w:p w14:paraId="0022CB8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índice 100% STOXX 50 (EUROPE) está disponible a través de Reuters y Bloomberg.</w:t>
      </w:r>
    </w:p>
    <w:p w14:paraId="51E67C5D" w14:textId="77777777" w:rsidR="00DC3D49" w:rsidRPr="00A714AF"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Reuters: .STOXX50R</w:t>
      </w:r>
    </w:p>
    <w:p w14:paraId="123DEDD5" w14:textId="77777777" w:rsidR="00DC3D49" w:rsidRPr="00A714AF"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Bloomberg: SX5R</w:t>
      </w:r>
    </w:p>
    <w:p w14:paraId="6CD9B169" w14:textId="083EED15"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35717DDD" wp14:editId="3CAE5D52">
            <wp:extent cx="127000" cy="127000"/>
            <wp:effectExtent l="0" t="0" r="0" b="0"/>
            <wp:docPr id="37"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Revisión del Índice 100% STOXX 50 (EUROPE)</w:t>
      </w:r>
    </w:p>
    <w:p w14:paraId="7677E959"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1400439"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composición del índice se revisa anualmente en septiembre.</w:t>
      </w:r>
    </w:p>
    <w:p w14:paraId="3FEEF98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Los componentes del índice se ponderan por su capitalización bursátil ajustada al flotante. La ponderación individual de cada componente no puede superar el 10% de la capitalización bursátil ajustada al flotante total del índice. Las ponderaciones se revisan trimestralmente con el objetivo de considerar los cambios que pueden tener un impacto en la capitalización de los valores (tanto en la flotante como respecto del número de títulos).</w:t>
      </w:r>
    </w:p>
    <w:p w14:paraId="4DE70BB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principales cambios en la estructura del capital de una sociedad representada en el índice pueden implementarse en tiempo real (fusión y adquisición, grandes emisiones de derechos o salidas a bolsa, etc.).</w:t>
      </w:r>
    </w:p>
    <w:p w14:paraId="33B8CE8F"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STOXX edita las normas de revisión del Índice 100% STOXX 50 (EUROPE) y puede consultarlas en el sitio web de STOXX: stoxx.com. </w:t>
      </w:r>
    </w:p>
    <w:p w14:paraId="53D91971" w14:textId="77777777" w:rsidR="00DC3D49" w:rsidRDefault="00DC3D49">
      <w:pPr>
        <w:autoSpaceDE w:val="0"/>
        <w:autoSpaceDN w:val="0"/>
        <w:adjustRightInd w:val="0"/>
        <w:spacing w:before="60" w:after="0" w:line="240" w:lineRule="auto"/>
        <w:jc w:val="both"/>
        <w:rPr>
          <w:rFonts w:ascii="Arial" w:hAnsi="Arial" w:cs="Arial"/>
          <w:b/>
          <w:bCs/>
          <w:color w:val="000000"/>
          <w:kern w:val="0"/>
          <w:sz w:val="20"/>
          <w:szCs w:val="20"/>
        </w:rPr>
      </w:pPr>
      <w:r>
        <w:rPr>
          <w:rFonts w:ascii="Arial" w:hAnsi="Arial"/>
          <w:b/>
          <w:color w:val="000000"/>
          <w:sz w:val="20"/>
        </w:rPr>
        <w:t xml:space="preserve">Índice de referencia aplicable al objetivo de gestión del fondo: </w:t>
      </w:r>
    </w:p>
    <w:p w14:paraId="4AB1E78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administrador del índice de referencia STOXX Ltd. está inscrito en el registro de administradores e índices de referencia mantenido por la ESMA.</w:t>
      </w:r>
    </w:p>
    <w:p w14:paraId="260D14D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EE474C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Puede encontrar información adicional sobre el índice de referencia en el sitio web del administrador del índice de referencia: https://www.stoxx.com/.</w:t>
      </w:r>
    </w:p>
    <w:p w14:paraId="7D611B3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C47F635" w14:textId="77777777" w:rsidR="00DC3D49" w:rsidRDefault="00DC3D49">
      <w:pPr>
        <w:autoSpaceDE w:val="0"/>
        <w:autoSpaceDN w:val="0"/>
        <w:adjustRightInd w:val="0"/>
        <w:spacing w:before="60" w:after="0" w:line="240" w:lineRule="auto"/>
        <w:jc w:val="both"/>
        <w:rPr>
          <w:rFonts w:ascii="Arial" w:hAnsi="Arial" w:cs="Arial"/>
          <w:color w:val="000000"/>
          <w:kern w:val="0"/>
          <w:sz w:val="20"/>
          <w:szCs w:val="20"/>
        </w:rPr>
      </w:pPr>
      <w:r>
        <w:rPr>
          <w:rFonts w:ascii="Arial" w:hAnsi="Arial"/>
          <w:color w:val="000000"/>
          <w:sz w:val="20"/>
        </w:rPr>
        <w:t>Con respecto al Reglamento (UE) 2016/1011, del Parlamento Europeo y del Consejo, de 8 de junio de 2016, la sociedad de gestión dispone de un procedimiento de seguimiento de los índices de referencia utilizados que describe las medidas que se aplicarán en caso de que se produzcan cambios sustanciales en un índice o este deje de proporcionarse.</w:t>
      </w:r>
    </w:p>
    <w:p w14:paraId="3FBCFD0A" w14:textId="12374AC3"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DF661B9" wp14:editId="4E2F936B">
            <wp:extent cx="127000" cy="127000"/>
            <wp:effectExtent l="0" t="0" r="0" b="0"/>
            <wp:docPr id="38"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Estrategia de inversión:</w:t>
      </w:r>
    </w:p>
    <w:p w14:paraId="634F6D4A"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gestión del Fondo es de tipo «pasiva».</w:t>
      </w:r>
    </w:p>
    <w:p w14:paraId="7920AD16"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1. Estrategia utilizada:</w:t>
      </w:r>
    </w:p>
    <w:p w14:paraId="759D12D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es objeto de una gestión indexada, cuyo objetivo es replicar la evolución de la rentabilidad del Índice 100% STOXX 50 (EUROPE) según un método de réplica sintética del Índice 100% STOXX 50 (EUROPE).</w:t>
      </w:r>
    </w:p>
    <w:p w14:paraId="25E880A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39D13B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 fin de buscar la correlación más elevada posible con la rentabilidad del Índice 100% STOXX 50 (EUROPE), el Fondo podrá recurrir a la compra de una cesta diversificada de acciones y a una permuta a plazo negociada de forma extrabursátil sobre las acciones e índices («total </w:t>
      </w:r>
      <w:proofErr w:type="spellStart"/>
      <w:r>
        <w:rPr>
          <w:rFonts w:ascii="Arial" w:hAnsi="Arial"/>
          <w:color w:val="000000"/>
          <w:sz w:val="20"/>
        </w:rPr>
        <w:t>return</w:t>
      </w:r>
      <w:proofErr w:type="spellEnd"/>
      <w:r>
        <w:rPr>
          <w:rFonts w:ascii="Arial" w:hAnsi="Arial"/>
          <w:color w:val="000000"/>
          <w:sz w:val="20"/>
        </w:rPr>
        <w:t xml:space="preserve"> swap»), que transforme la exposición a los títulos del activo del Fondo en una exposición al Índice 100% STOXX 50 (EUROPE). </w:t>
      </w:r>
    </w:p>
    <w:p w14:paraId="1C0AF78E"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El Fondo respetará las normas de inversión estipuladas en los artículos R214-21, R214-22 y R214-23 del CMF.</w:t>
      </w:r>
    </w:p>
    <w:p w14:paraId="6BC7B768"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Cesta estará compuesta por los activos de forma directa que se describen en la sección «Activos utilizados» respeto a lo dispuesto en el artículo R 214-21 del CMF.</w:t>
      </w:r>
    </w:p>
    <w:p w14:paraId="67D4132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DEFC17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exposición del Fondo al índice obtenida a través de una permuta financiera a plazo («total </w:t>
      </w:r>
      <w:proofErr w:type="spellStart"/>
      <w:r>
        <w:rPr>
          <w:rFonts w:ascii="Arial" w:hAnsi="Arial"/>
          <w:color w:val="000000"/>
          <w:sz w:val="20"/>
        </w:rPr>
        <w:t>return</w:t>
      </w:r>
      <w:proofErr w:type="spellEnd"/>
      <w:r>
        <w:rPr>
          <w:rFonts w:ascii="Arial" w:hAnsi="Arial"/>
          <w:color w:val="000000"/>
          <w:sz w:val="20"/>
        </w:rPr>
        <w:t xml:space="preserve"> swap») puede beneficiar a los ratios especiales aplicables a los OICVM indexados que se indican en el artículo R214-22 del CMF. Este artículo estipula que el índice puede estar compuesto hasta un 20% como máximo de acciones o títulos de deuda emitidos por una misma entidad, pudiendo incrementarse este límite hasta el 35% como máximo para una sola entidad emisora cuando esté justificado por condiciones excepcionales en el mercado, especialmente en los mercados regulados en los que determinados valores mobiliarios o determinados instrumentos del mercado monetario son claramente dominantes. </w:t>
      </w:r>
    </w:p>
    <w:p w14:paraId="47CE98DC"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2. Activos utilizados (excepto los derivados integrados):</w:t>
      </w:r>
    </w:p>
    <w:p w14:paraId="5BCB06C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exposición del Fondo al índice se obtiene mediante la permuta financiera a plazo («total </w:t>
      </w:r>
      <w:proofErr w:type="spellStart"/>
      <w:r>
        <w:rPr>
          <w:rFonts w:ascii="Arial" w:hAnsi="Arial"/>
          <w:color w:val="000000"/>
          <w:sz w:val="20"/>
        </w:rPr>
        <w:t>return</w:t>
      </w:r>
      <w:proofErr w:type="spellEnd"/>
      <w:r>
        <w:rPr>
          <w:rFonts w:ascii="Arial" w:hAnsi="Arial"/>
          <w:color w:val="000000"/>
          <w:sz w:val="20"/>
        </w:rPr>
        <w:t xml:space="preserve"> swap»).</w:t>
      </w:r>
    </w:p>
    <w:p w14:paraId="16CF54B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AF0A25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Cesta se compone de los siguientes activos que el Fondo posee directamente. </w:t>
      </w:r>
    </w:p>
    <w:p w14:paraId="6C913C4C" w14:textId="05C32947"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500FD943" wp14:editId="23516CAF">
            <wp:extent cx="127000" cy="127000"/>
            <wp:effectExtent l="0" t="0" r="0" b="0"/>
            <wp:docPr id="39"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Acciones</w:t>
      </w:r>
      <w:r>
        <w:rPr>
          <w:rFonts w:ascii="Arial" w:hAnsi="Arial"/>
          <w:color w:val="000000"/>
          <w:sz w:val="20"/>
        </w:rPr>
        <w:t>:</w:t>
      </w:r>
    </w:p>
    <w:p w14:paraId="1AC3152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90EBE5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estará permanentemente expuesto hasta el 60% al menos en un mercado de renta variable extranjero o en mercados de renta variable de varios países, entre los cuales podría incluirse el mercado francés.</w:t>
      </w:r>
    </w:p>
    <w:p w14:paraId="55A945F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9EE8C5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se invertirá, respetando los ratios previstos por la normativa, en renta variable internacional (de todos los sectores económicos, cotizando en todos los mercados) hasta el 100% de su activo neto en las acciones internacionales. Sin embargo, en caso de que se realicen ajustes vinculados a las suscripciones o reembolsos, la inversión puede superar de forma residual el límite.</w:t>
      </w:r>
    </w:p>
    <w:p w14:paraId="2F8BD85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Las acciones del activo del Fondo serán acciones que compongan el Índice 100% STOXX 50 (EUROPE), igual que otras acciones internacionales, de todos los sectores económicos, incluidos los mercados de pequeña </w:t>
      </w:r>
      <w:r>
        <w:rPr>
          <w:rFonts w:ascii="Arial" w:hAnsi="Arial"/>
          <w:color w:val="000000"/>
          <w:sz w:val="20"/>
        </w:rPr>
        <w:lastRenderedPageBreak/>
        <w:t>capitalización. Las acciones del activo del Fondo se elegirán a fin de limitar los costes ligados a la réplica del Índice 100% STOXX 50 (EUROPE).</w:t>
      </w:r>
    </w:p>
    <w:p w14:paraId="1656BF7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p>
    <w:p w14:paraId="18FC910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se invertirá permanentemente al menos en un 90% en acciones cotizadas. A los efectos de la interpretación de esta relación, las acciones emitidas por REIT (según lo definido por el Ministerio de Finanzas alemán) u OIC no se consideran acciones. </w:t>
      </w:r>
    </w:p>
    <w:p w14:paraId="2C53732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w:t>
      </w:r>
    </w:p>
    <w:p w14:paraId="1874B9CB" w14:textId="77807674"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0B0EBE21" wp14:editId="21ACA69C">
            <wp:extent cx="127000" cy="127000"/>
            <wp:effectExtent l="0" t="0" r="0" b="0"/>
            <wp:docPr id="40"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Instrumentos de tipos</w:t>
      </w:r>
      <w:r>
        <w:rPr>
          <w:rFonts w:ascii="Arial" w:hAnsi="Arial"/>
          <w:color w:val="000000"/>
          <w:sz w:val="20"/>
        </w:rPr>
        <w:t>: El Fondo podrá ostentar hasta un 25 % de su activo en instrumentos financieros de renta fija de todo tipo.</w:t>
      </w:r>
    </w:p>
    <w:p w14:paraId="51085D70"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Los valores incluidos en la cartera se seleccionarán según el criterio de la gestión y respetando la política interna de seguimiento del riesgo de crédito de la Sociedad Gestora.</w:t>
      </w:r>
    </w:p>
    <w:p w14:paraId="48F57079"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A fin de seleccionar los títulos, la gestión no se basa ni exclusiva ni automáticamente en las calificaciones emitidas por las agencias de calificación, sino que fundamenta su convicción de compra y venta de un título en sus propios análisis de crédito y de mercados. A título informativo, la gestión podrá recurrir especialmente a valores que tengan calificaciones mínimas en el momento de su compra de BBB- en la escala de S&amp;P y Moody’s (calificación de categoría de inversión o «</w:t>
      </w:r>
      <w:proofErr w:type="spellStart"/>
      <w:r>
        <w:rPr>
          <w:rFonts w:ascii="Arial" w:hAnsi="Arial"/>
          <w:color w:val="000000"/>
          <w:sz w:val="20"/>
        </w:rPr>
        <w:t>investment</w:t>
      </w:r>
      <w:proofErr w:type="spellEnd"/>
      <w:r>
        <w:rPr>
          <w:rFonts w:ascii="Arial" w:hAnsi="Arial"/>
          <w:color w:val="000000"/>
          <w:sz w:val="20"/>
        </w:rPr>
        <w:t xml:space="preserve"> grade»).</w:t>
      </w:r>
    </w:p>
    <w:p w14:paraId="0AE8A32F"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Los emisores seleccionados también podrán provenir del sector privado y del público (Estados, administraciones regionales, etc.), pudiendo representar la deuda privada hasta el 100% de los instrumentos de deuda. </w:t>
      </w:r>
    </w:p>
    <w:p w14:paraId="19C8F1A8"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Las obligaciones extranjeras se denominarán en una de las divisas de los Estados miembros de la OCDE.</w:t>
      </w:r>
    </w:p>
    <w:p w14:paraId="4CEB7A9E"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Para contribuir a la realización de su objetivo de gestión y/o de gestionar los flujos intermedios, el Fondo podrá ostentar, hasta un 10% como máximo, los siguientes activos: </w:t>
      </w:r>
    </w:p>
    <w:p w14:paraId="00CBEF4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AA6E4D0" w14:textId="3BA2F3E9"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4FA0A2D9" wp14:editId="2B7B7E24">
            <wp:extent cx="127000" cy="127000"/>
            <wp:effectExtent l="0" t="0" r="0" b="0"/>
            <wp:docPr id="41"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Títulos de deuda e instrumentos del mercado monetario denominados en euros</w:t>
      </w:r>
      <w:r>
        <w:rPr>
          <w:rFonts w:ascii="Arial" w:hAnsi="Arial"/>
          <w:color w:val="000000"/>
          <w:sz w:val="20"/>
        </w:rPr>
        <w:t>: La gestión de la tesorería se efectúa mediante la inversión en instrumentos del mercado monetario.</w:t>
      </w:r>
    </w:p>
    <w:p w14:paraId="5FA4C29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ECB48E8"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Los valores incluidos en la cartera se seleccionarán según el criterio de la gestión y respetando la política interna de seguimiento del riesgo de crédito de la Sociedad Gestora.</w:t>
      </w:r>
    </w:p>
    <w:p w14:paraId="67B8C718"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A fin de seleccionar los títulos, la gestión no se basa ni exclusiva ni automáticamente en las calificaciones emitidas por las agencias de calificación, sino que fundamenta su convicción de compra y venta de un título en sus propios análisis de crédito y de mercados. A título informativo, la gestión podrá recurrir especialmente a valores que tengan calificaciones mínimas de AA en la escala de S&amp;P y Moody’s.</w:t>
      </w:r>
    </w:p>
    <w:p w14:paraId="36BAC341" w14:textId="77777777" w:rsidR="00DC3D49" w:rsidRDefault="00DC3D49">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Los emisores seleccionados también podrán provenir del sector privado y del público (Estados, administraciones regionales, etc.), pudiendo representar la deuda privada hasta el 100% de los instrumentos de deuda. La duración media de estos instrumentos será inferior a diez años. </w:t>
      </w:r>
    </w:p>
    <w:p w14:paraId="35E15ECB" w14:textId="746CAE19"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609434C6" wp14:editId="30CE4653">
            <wp:extent cx="127000" cy="127000"/>
            <wp:effectExtent l="0" t="0" r="0" b="0"/>
            <wp:docPr id="42"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Participaciones o acciones de OICVM</w:t>
      </w:r>
      <w:r>
        <w:rPr>
          <w:rFonts w:ascii="Arial" w:hAnsi="Arial"/>
          <w:color w:val="000000"/>
          <w:sz w:val="20"/>
        </w:rPr>
        <w:t xml:space="preserve">: </w:t>
      </w:r>
    </w:p>
    <w:p w14:paraId="21FE64D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76F76CE" w14:textId="77777777" w:rsidR="00DC3D49" w:rsidRDefault="00DC3D49" w:rsidP="00A714A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El Fondo puede invertir hasta el 10 % de su activo en participaciones y/o acciones de OICVM. Estos OICVM son representativos de todas las clases de activos, siempre que cumplan las limitaciones del Fondo.</w:t>
      </w:r>
    </w:p>
    <w:p w14:paraId="4A2D897D" w14:textId="77777777" w:rsidR="00DC3D49" w:rsidRDefault="00DC3D49" w:rsidP="00A714A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 </w:t>
      </w:r>
    </w:p>
    <w:p w14:paraId="50005348" w14:textId="77777777" w:rsidR="00DC3D49" w:rsidRDefault="00DC3D49" w:rsidP="00A714A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color w:val="000000"/>
          <w:sz w:val="20"/>
        </w:rPr>
        <w:t xml:space="preserve">Pueden ser OICVM gestionados por la Sociedad Gestora o por otras entidades pertenecientes, o no, al Grupo </w:t>
      </w:r>
      <w:proofErr w:type="spellStart"/>
      <w:r>
        <w:rPr>
          <w:rFonts w:ascii="Arial" w:hAnsi="Arial"/>
          <w:color w:val="000000"/>
          <w:sz w:val="20"/>
        </w:rPr>
        <w:t>Crédit</w:t>
      </w:r>
      <w:proofErr w:type="spellEnd"/>
      <w:r>
        <w:rPr>
          <w:rFonts w:ascii="Arial" w:hAnsi="Arial"/>
          <w:color w:val="000000"/>
          <w:sz w:val="20"/>
        </w:rPr>
        <w:t xml:space="preserve"> </w:t>
      </w:r>
      <w:proofErr w:type="spellStart"/>
      <w:r>
        <w:rPr>
          <w:rFonts w:ascii="Arial" w:hAnsi="Arial"/>
          <w:color w:val="000000"/>
          <w:sz w:val="20"/>
        </w:rPr>
        <w:t>Agricole</w:t>
      </w:r>
      <w:proofErr w:type="spellEnd"/>
      <w:r>
        <w:rPr>
          <w:rFonts w:ascii="Arial" w:hAnsi="Arial"/>
          <w:color w:val="000000"/>
          <w:sz w:val="20"/>
        </w:rPr>
        <w:t> S.A., incluidas sociedades vinculadas.</w:t>
      </w:r>
    </w:p>
    <w:p w14:paraId="3787C6F3" w14:textId="77777777" w:rsidR="00A714AF" w:rsidRDefault="00A714AF">
      <w:pPr>
        <w:autoSpaceDE w:val="0"/>
        <w:autoSpaceDN w:val="0"/>
        <w:adjustRightInd w:val="0"/>
        <w:spacing w:after="0" w:line="240" w:lineRule="auto"/>
        <w:jc w:val="both"/>
        <w:rPr>
          <w:rFonts w:ascii="Arial" w:hAnsi="Arial" w:cs="Arial"/>
          <w:color w:val="000000"/>
          <w:kern w:val="0"/>
          <w:sz w:val="20"/>
          <w:szCs w:val="20"/>
        </w:rPr>
      </w:pPr>
    </w:p>
    <w:p w14:paraId="6EE8314A" w14:textId="77777777" w:rsidR="00A714AF" w:rsidRDefault="00A714AF">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títulos incluidos en la cesta de sustitución se seleccionarán de conformidad con las disposiciones aplicables de la política general de inversión responsable de Amundi.</w:t>
      </w:r>
    </w:p>
    <w:p w14:paraId="5CB7DBFE"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3. Instrumentos derivados:</w:t>
      </w:r>
    </w:p>
    <w:p w14:paraId="147F7FB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podrá recurrir a instrumentos derivados, especialmente instrumentos financieros a plazo como «total </w:t>
      </w:r>
      <w:proofErr w:type="spellStart"/>
      <w:r>
        <w:rPr>
          <w:rFonts w:ascii="Arial" w:hAnsi="Arial"/>
          <w:color w:val="000000"/>
          <w:sz w:val="20"/>
        </w:rPr>
        <w:t>return</w:t>
      </w:r>
      <w:proofErr w:type="spellEnd"/>
      <w:r>
        <w:rPr>
          <w:rFonts w:ascii="Arial" w:hAnsi="Arial"/>
          <w:color w:val="000000"/>
          <w:sz w:val="20"/>
        </w:rPr>
        <w:t xml:space="preserve"> swaps», negociados de forma extrabursátil que cambien el valor de las acciones del activo del Fondo contra el valor del Índice 100% STOXX 50 (EUROPE).</w:t>
      </w:r>
    </w:p>
    <w:p w14:paraId="7A5313D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puede intervenir en los instrumentos derivados siguientes:</w:t>
      </w:r>
    </w:p>
    <w:p w14:paraId="602C7405" w14:textId="3C2CDD88"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30B976E2" wp14:editId="638338F4">
            <wp:extent cx="127000" cy="127000"/>
            <wp:effectExtent l="0" t="0" r="0" b="0"/>
            <wp:docPr id="43"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Naturaleza de los mercados de intervención:</w:t>
      </w:r>
    </w:p>
    <w:p w14:paraId="246BD316"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578DC2B7" w14:textId="77777777" w:rsidR="00DC3D49" w:rsidRDefault="00DC3D49">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540"/>
        <w:gridCol w:w="8080"/>
      </w:tblGrid>
      <w:tr w:rsidR="00DC3D49" w14:paraId="66495889" w14:textId="77777777">
        <w:tc>
          <w:tcPr>
            <w:tcW w:w="540" w:type="dxa"/>
            <w:tcBorders>
              <w:top w:val="nil"/>
              <w:left w:val="nil"/>
              <w:bottom w:val="nil"/>
              <w:right w:val="nil"/>
            </w:tcBorders>
            <w:vAlign w:val="center"/>
          </w:tcPr>
          <w:p w14:paraId="7473CA82" w14:textId="7AC70016"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5612859B" wp14:editId="0C858EE1">
                  <wp:extent cx="103505" cy="103505"/>
                  <wp:effectExtent l="0" t="0" r="0" b="0"/>
                  <wp:docPr id="44"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080" w:type="dxa"/>
            <w:tcBorders>
              <w:top w:val="nil"/>
              <w:left w:val="nil"/>
              <w:bottom w:val="nil"/>
              <w:right w:val="nil"/>
            </w:tcBorders>
            <w:vAlign w:val="center"/>
          </w:tcPr>
          <w:p w14:paraId="192CC9E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regulados</w:t>
            </w:r>
          </w:p>
        </w:tc>
      </w:tr>
      <w:tr w:rsidR="00DC3D49" w14:paraId="3469649A" w14:textId="77777777">
        <w:tc>
          <w:tcPr>
            <w:tcW w:w="540" w:type="dxa"/>
            <w:tcBorders>
              <w:top w:val="nil"/>
              <w:left w:val="nil"/>
              <w:bottom w:val="nil"/>
              <w:right w:val="nil"/>
            </w:tcBorders>
            <w:vAlign w:val="center"/>
          </w:tcPr>
          <w:p w14:paraId="26D66885" w14:textId="7F44BDB3"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1F9C6C6B" wp14:editId="0FA670DE">
                  <wp:extent cx="103505" cy="103505"/>
                  <wp:effectExtent l="0" t="0" r="0" b="0"/>
                  <wp:docPr id="45"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080" w:type="dxa"/>
            <w:tcBorders>
              <w:top w:val="nil"/>
              <w:left w:val="nil"/>
              <w:bottom w:val="nil"/>
              <w:right w:val="nil"/>
            </w:tcBorders>
            <w:vAlign w:val="center"/>
          </w:tcPr>
          <w:p w14:paraId="0A748D9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organizados</w:t>
            </w:r>
          </w:p>
        </w:tc>
      </w:tr>
      <w:tr w:rsidR="00DC3D49" w14:paraId="07217CD0" w14:textId="77777777">
        <w:tc>
          <w:tcPr>
            <w:tcW w:w="540" w:type="dxa"/>
            <w:tcBorders>
              <w:top w:val="nil"/>
              <w:left w:val="nil"/>
              <w:bottom w:val="nil"/>
              <w:right w:val="nil"/>
            </w:tcBorders>
            <w:vAlign w:val="center"/>
          </w:tcPr>
          <w:p w14:paraId="4A4533FF" w14:textId="5575648B"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EF807EE" wp14:editId="65610122">
                  <wp:extent cx="103505" cy="103505"/>
                  <wp:effectExtent l="0" t="0" r="0" b="0"/>
                  <wp:docPr id="46"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080" w:type="dxa"/>
            <w:tcBorders>
              <w:top w:val="nil"/>
              <w:left w:val="nil"/>
              <w:bottom w:val="nil"/>
              <w:right w:val="nil"/>
            </w:tcBorders>
            <w:vAlign w:val="center"/>
          </w:tcPr>
          <w:p w14:paraId="5BE8A57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extrabursátiles</w:t>
            </w:r>
          </w:p>
        </w:tc>
      </w:tr>
    </w:tbl>
    <w:p w14:paraId="2ABDE738" w14:textId="761E51C6"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lastRenderedPageBreak/>
        <w:drawing>
          <wp:inline distT="0" distB="0" distL="0" distR="0" wp14:anchorId="1C55251B" wp14:editId="168E8F5B">
            <wp:extent cx="127000" cy="127000"/>
            <wp:effectExtent l="0" t="0" r="0" b="0"/>
            <wp:docPr id="47"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Riesgos sobre los que el Fondo desea invertir:</w:t>
      </w:r>
    </w:p>
    <w:p w14:paraId="525C16E6"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31E7614E" w14:textId="77777777" w:rsidR="00DC3D49" w:rsidRDefault="00DC3D49">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500"/>
        <w:gridCol w:w="8120"/>
      </w:tblGrid>
      <w:tr w:rsidR="00DC3D49" w14:paraId="46369109" w14:textId="77777777">
        <w:tc>
          <w:tcPr>
            <w:tcW w:w="500" w:type="dxa"/>
            <w:tcBorders>
              <w:top w:val="nil"/>
              <w:left w:val="nil"/>
              <w:bottom w:val="nil"/>
              <w:right w:val="nil"/>
            </w:tcBorders>
            <w:vAlign w:val="center"/>
          </w:tcPr>
          <w:p w14:paraId="148CA875" w14:textId="1A8CBCE2"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097D4904" wp14:editId="104DFA6C">
                  <wp:extent cx="103505" cy="103505"/>
                  <wp:effectExtent l="0" t="0" r="0" b="0"/>
                  <wp:docPr id="48"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7327500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acción</w:t>
            </w:r>
          </w:p>
        </w:tc>
      </w:tr>
      <w:tr w:rsidR="00DC3D49" w14:paraId="0E0AA7EB" w14:textId="77777777">
        <w:tc>
          <w:tcPr>
            <w:tcW w:w="500" w:type="dxa"/>
            <w:tcBorders>
              <w:top w:val="nil"/>
              <w:left w:val="nil"/>
              <w:bottom w:val="nil"/>
              <w:right w:val="nil"/>
            </w:tcBorders>
            <w:vAlign w:val="center"/>
          </w:tcPr>
          <w:p w14:paraId="3666D46C" w14:textId="7E881BF8"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2666C784" wp14:editId="66023A6C">
                  <wp:extent cx="103505" cy="103505"/>
                  <wp:effectExtent l="0" t="0" r="0" b="0"/>
                  <wp:docPr id="49"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21EFF80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tipo</w:t>
            </w:r>
          </w:p>
        </w:tc>
      </w:tr>
      <w:tr w:rsidR="00DC3D49" w14:paraId="17E53986" w14:textId="77777777">
        <w:tc>
          <w:tcPr>
            <w:tcW w:w="500" w:type="dxa"/>
            <w:tcBorders>
              <w:top w:val="nil"/>
              <w:left w:val="nil"/>
              <w:bottom w:val="nil"/>
              <w:right w:val="nil"/>
            </w:tcBorders>
            <w:vAlign w:val="center"/>
          </w:tcPr>
          <w:p w14:paraId="49D89C84" w14:textId="58EE6E26"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000DB1C" wp14:editId="49017B92">
                  <wp:extent cx="103505" cy="103505"/>
                  <wp:effectExtent l="0" t="0" r="0" b="0"/>
                  <wp:docPr id="5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15F94BF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cambio</w:t>
            </w:r>
          </w:p>
        </w:tc>
      </w:tr>
      <w:tr w:rsidR="00DC3D49" w14:paraId="66F54D92" w14:textId="77777777">
        <w:tc>
          <w:tcPr>
            <w:tcW w:w="500" w:type="dxa"/>
            <w:tcBorders>
              <w:top w:val="nil"/>
              <w:left w:val="nil"/>
              <w:bottom w:val="nil"/>
              <w:right w:val="nil"/>
            </w:tcBorders>
            <w:vAlign w:val="center"/>
          </w:tcPr>
          <w:p w14:paraId="4FDC92E2" w14:textId="0B6FB710"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BE297F0" wp14:editId="413E3B24">
                  <wp:extent cx="103505" cy="103505"/>
                  <wp:effectExtent l="0" t="0" r="0" b="0"/>
                  <wp:docPr id="51"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5BFBD3B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crédito</w:t>
            </w:r>
          </w:p>
        </w:tc>
      </w:tr>
      <w:tr w:rsidR="00DC3D49" w14:paraId="756CFDFA" w14:textId="77777777">
        <w:tc>
          <w:tcPr>
            <w:tcW w:w="500" w:type="dxa"/>
            <w:tcBorders>
              <w:top w:val="nil"/>
              <w:left w:val="nil"/>
              <w:bottom w:val="nil"/>
              <w:right w:val="nil"/>
            </w:tcBorders>
            <w:vAlign w:val="center"/>
          </w:tcPr>
          <w:p w14:paraId="6BADC82E" w14:textId="25047FD0"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4EEBB910" wp14:editId="6AFA726C">
                  <wp:extent cx="103505" cy="103505"/>
                  <wp:effectExtent l="0" t="0" r="0" b="0"/>
                  <wp:docPr id="52"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04E58D5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volatilidad</w:t>
            </w:r>
          </w:p>
        </w:tc>
      </w:tr>
    </w:tbl>
    <w:p w14:paraId="71584DD0" w14:textId="564709BF"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442783B6" wp14:editId="33015C84">
            <wp:extent cx="127000" cy="127000"/>
            <wp:effectExtent l="0" t="0" r="0" b="0"/>
            <wp:docPr id="53"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Naturaleza de las intervenciones debiéndose limitar el conjunto de las operaciones a la realización del objetivo de gestión:</w:t>
      </w:r>
    </w:p>
    <w:p w14:paraId="63AE1747"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28BFDC3B" w14:textId="77777777" w:rsidR="00DC3D49" w:rsidRDefault="00DC3D49">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500"/>
        <w:gridCol w:w="8120"/>
      </w:tblGrid>
      <w:tr w:rsidR="00DC3D49" w14:paraId="4700107F" w14:textId="77777777">
        <w:tc>
          <w:tcPr>
            <w:tcW w:w="500" w:type="dxa"/>
            <w:tcBorders>
              <w:top w:val="nil"/>
              <w:left w:val="nil"/>
              <w:bottom w:val="nil"/>
              <w:right w:val="nil"/>
            </w:tcBorders>
            <w:vAlign w:val="center"/>
          </w:tcPr>
          <w:p w14:paraId="63708A50" w14:textId="54B41F47"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3AF4C259" wp14:editId="079405EE">
                  <wp:extent cx="103505" cy="103505"/>
                  <wp:effectExtent l="0" t="0" r="0" b="0"/>
                  <wp:docPr id="54"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6F7718D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cobertura</w:t>
            </w:r>
          </w:p>
        </w:tc>
      </w:tr>
      <w:tr w:rsidR="00DC3D49" w14:paraId="3EA0D77B" w14:textId="77777777">
        <w:tc>
          <w:tcPr>
            <w:tcW w:w="500" w:type="dxa"/>
            <w:tcBorders>
              <w:top w:val="nil"/>
              <w:left w:val="nil"/>
              <w:bottom w:val="nil"/>
              <w:right w:val="nil"/>
            </w:tcBorders>
            <w:vAlign w:val="center"/>
          </w:tcPr>
          <w:p w14:paraId="6885BAAA" w14:textId="7CA3535C"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5AD09304" wp14:editId="2E97479E">
                  <wp:extent cx="103505" cy="103505"/>
                  <wp:effectExtent l="0" t="0" r="0" b="0"/>
                  <wp:docPr id="55"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6D57067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exposición</w:t>
            </w:r>
          </w:p>
        </w:tc>
      </w:tr>
      <w:tr w:rsidR="00DC3D49" w14:paraId="7E5E0C7C" w14:textId="77777777">
        <w:tc>
          <w:tcPr>
            <w:tcW w:w="500" w:type="dxa"/>
            <w:tcBorders>
              <w:top w:val="nil"/>
              <w:left w:val="nil"/>
              <w:bottom w:val="nil"/>
              <w:right w:val="nil"/>
            </w:tcBorders>
            <w:vAlign w:val="center"/>
          </w:tcPr>
          <w:p w14:paraId="3B775D14" w14:textId="05BA4BB3"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0EA4F39F" wp14:editId="498EC8CD">
                  <wp:extent cx="103505" cy="103505"/>
                  <wp:effectExtent l="0" t="0" r="0" b="0"/>
                  <wp:docPr id="5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6D3AA87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arbitraje</w:t>
            </w:r>
          </w:p>
        </w:tc>
      </w:tr>
      <w:tr w:rsidR="00DC3D49" w14:paraId="5EFC4FF1" w14:textId="77777777">
        <w:tc>
          <w:tcPr>
            <w:tcW w:w="500" w:type="dxa"/>
            <w:tcBorders>
              <w:top w:val="nil"/>
              <w:left w:val="nil"/>
              <w:bottom w:val="nil"/>
              <w:right w:val="nil"/>
            </w:tcBorders>
            <w:vAlign w:val="center"/>
          </w:tcPr>
          <w:p w14:paraId="7911EBDA" w14:textId="2A74CC9B"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6922D534" wp14:editId="46AE5EB9">
                  <wp:extent cx="103505" cy="103505"/>
                  <wp:effectExtent l="0" t="0" r="0" b="0"/>
                  <wp:docPr id="5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3F91FF4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negociación</w:t>
            </w:r>
          </w:p>
        </w:tc>
      </w:tr>
      <w:tr w:rsidR="00DC3D49" w14:paraId="06CDA391" w14:textId="77777777">
        <w:tc>
          <w:tcPr>
            <w:tcW w:w="500" w:type="dxa"/>
            <w:tcBorders>
              <w:top w:val="nil"/>
              <w:left w:val="nil"/>
              <w:bottom w:val="nil"/>
              <w:right w:val="nil"/>
            </w:tcBorders>
            <w:vAlign w:val="center"/>
          </w:tcPr>
          <w:p w14:paraId="1093AD04" w14:textId="7118E9F0"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85A1FCD" wp14:editId="7764CCFC">
                  <wp:extent cx="103505" cy="103505"/>
                  <wp:effectExtent l="0" t="0" r="0" b="0"/>
                  <wp:docPr id="58"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0C612B7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otra naturaleza </w:t>
            </w:r>
          </w:p>
        </w:tc>
      </w:tr>
    </w:tbl>
    <w:p w14:paraId="1A08A6A7" w14:textId="614DE4EA"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3482FB9A" wp14:editId="097ED213">
            <wp:extent cx="127000" cy="127000"/>
            <wp:effectExtent l="0" t="0" r="0" b="0"/>
            <wp:docPr id="59"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Naturaleza de los instrumentos utilizados:</w:t>
      </w:r>
    </w:p>
    <w:p w14:paraId="58EE1841"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4125494F" w14:textId="77777777" w:rsidR="00DC3D49" w:rsidRDefault="00DC3D49">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500"/>
        <w:gridCol w:w="8120"/>
      </w:tblGrid>
      <w:tr w:rsidR="00DC3D49" w14:paraId="2024B83E" w14:textId="77777777">
        <w:tc>
          <w:tcPr>
            <w:tcW w:w="500" w:type="dxa"/>
            <w:tcBorders>
              <w:top w:val="nil"/>
              <w:left w:val="nil"/>
              <w:bottom w:val="nil"/>
              <w:right w:val="nil"/>
            </w:tcBorders>
            <w:vAlign w:val="center"/>
          </w:tcPr>
          <w:p w14:paraId="4E7A316B" w14:textId="201128C9"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1FFB0DCD" wp14:editId="4BCD5A61">
                  <wp:extent cx="103505" cy="103505"/>
                  <wp:effectExtent l="0" t="0" r="0" b="0"/>
                  <wp:docPr id="60"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40C6A7E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futuros: sobre acciones e índices</w:t>
            </w:r>
          </w:p>
        </w:tc>
      </w:tr>
      <w:tr w:rsidR="00DC3D49" w14:paraId="23A47DE9" w14:textId="77777777">
        <w:tc>
          <w:tcPr>
            <w:tcW w:w="500" w:type="dxa"/>
            <w:tcBorders>
              <w:top w:val="nil"/>
              <w:left w:val="nil"/>
              <w:bottom w:val="nil"/>
              <w:right w:val="nil"/>
            </w:tcBorders>
            <w:vAlign w:val="center"/>
          </w:tcPr>
          <w:p w14:paraId="3BBCDC25" w14:textId="52DC1076"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D4D368E" wp14:editId="3B053C03">
                  <wp:extent cx="103505" cy="103505"/>
                  <wp:effectExtent l="0" t="0" r="0" b="0"/>
                  <wp:docPr id="61"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5756451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opciones: sobre acciones e índices</w:t>
            </w:r>
          </w:p>
        </w:tc>
      </w:tr>
      <w:tr w:rsidR="00DC3D49" w14:paraId="031795FE" w14:textId="77777777">
        <w:tc>
          <w:tcPr>
            <w:tcW w:w="500" w:type="dxa"/>
            <w:tcBorders>
              <w:top w:val="nil"/>
              <w:left w:val="nil"/>
              <w:bottom w:val="nil"/>
              <w:right w:val="nil"/>
            </w:tcBorders>
            <w:vAlign w:val="center"/>
          </w:tcPr>
          <w:p w14:paraId="787F1A39" w14:textId="70D81017"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1632D18F" wp14:editId="229608B0">
                  <wp:extent cx="103505" cy="103505"/>
                  <wp:effectExtent l="0" t="0" r="0" b="0"/>
                  <wp:docPr id="62"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3F1E00F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permuta financiera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sobre acciones e índices. </w:t>
            </w:r>
          </w:p>
          <w:p w14:paraId="7D17816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podrá celebrar permutas financieras de dos combinaciones entre los siguientes tipos de flujo:</w:t>
            </w:r>
          </w:p>
          <w:p w14:paraId="09CC5AC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tipo fijo</w:t>
            </w:r>
          </w:p>
          <w:p w14:paraId="7FC388F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tipo variable (indexados al Eonia, al Euribor, o a otra referencia de mercado)</w:t>
            </w:r>
          </w:p>
          <w:p w14:paraId="0B6B460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rentabilidad vinculada a una o más divisas, acciones, índices bursátiles o títulos cotizados, OIC o fondos de inversión </w:t>
            </w:r>
          </w:p>
          <w:p w14:paraId="2D6B292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dividendos (netos o brutos) </w:t>
            </w:r>
          </w:p>
        </w:tc>
      </w:tr>
      <w:tr w:rsidR="00DC3D49" w14:paraId="71ABF7A7" w14:textId="77777777">
        <w:tc>
          <w:tcPr>
            <w:tcW w:w="500" w:type="dxa"/>
            <w:tcBorders>
              <w:top w:val="nil"/>
              <w:left w:val="nil"/>
              <w:bottom w:val="nil"/>
              <w:right w:val="nil"/>
            </w:tcBorders>
            <w:vAlign w:val="center"/>
          </w:tcPr>
          <w:p w14:paraId="3AE1E14E" w14:textId="47CAD1D6"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369E2B0C" wp14:editId="7FF3D1F6">
                  <wp:extent cx="103505" cy="103505"/>
                  <wp:effectExtent l="0" t="0" r="0" b="0"/>
                  <wp:docPr id="63"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068D316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cambio a plazo</w:t>
            </w:r>
          </w:p>
        </w:tc>
      </w:tr>
      <w:tr w:rsidR="00DC3D49" w14:paraId="7120C340" w14:textId="77777777">
        <w:tc>
          <w:tcPr>
            <w:tcW w:w="500" w:type="dxa"/>
            <w:tcBorders>
              <w:top w:val="nil"/>
              <w:left w:val="nil"/>
              <w:bottom w:val="nil"/>
              <w:right w:val="nil"/>
            </w:tcBorders>
            <w:vAlign w:val="center"/>
          </w:tcPr>
          <w:p w14:paraId="6D48C251" w14:textId="196B77BC"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6CE64BDD" wp14:editId="5125278F">
                  <wp:extent cx="103505" cy="103505"/>
                  <wp:effectExtent l="0" t="0" r="0" b="0"/>
                  <wp:docPr id="6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1B5398F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otra naturaleza</w:t>
            </w:r>
          </w:p>
        </w:tc>
      </w:tr>
    </w:tbl>
    <w:p w14:paraId="10EF67F0" w14:textId="352A3E6A"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59F95BB0" wp14:editId="450392F9">
            <wp:extent cx="127000" cy="127000"/>
            <wp:effectExtent l="0" t="0" r="0" b="0"/>
            <wp:docPr id="6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Estrategia de utilización de los derivados para alcanzar el objetivo de gestión: </w:t>
      </w:r>
    </w:p>
    <w:p w14:paraId="4B731510"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18FBED78" w14:textId="77777777" w:rsidR="00DC3D49" w:rsidRDefault="00DC3D49">
      <w:pPr>
        <w:autoSpaceDE w:val="0"/>
        <w:autoSpaceDN w:val="0"/>
        <w:adjustRightInd w:val="0"/>
        <w:spacing w:after="0" w:line="240" w:lineRule="auto"/>
        <w:ind w:left="600"/>
        <w:jc w:val="both"/>
        <w:rPr>
          <w:rFonts w:ascii="Arial" w:hAnsi="Arial" w:cs="Arial"/>
          <w:color w:val="000000"/>
          <w:kern w:val="0"/>
          <w:sz w:val="2"/>
          <w:szCs w:val="2"/>
        </w:rPr>
      </w:pPr>
    </w:p>
    <w:tbl>
      <w:tblPr>
        <w:tblW w:w="0" w:type="auto"/>
        <w:tblInd w:w="500" w:type="dxa"/>
        <w:tblLayout w:type="fixed"/>
        <w:tblCellMar>
          <w:left w:w="100" w:type="dxa"/>
          <w:right w:w="100" w:type="dxa"/>
        </w:tblCellMar>
        <w:tblLook w:val="0000" w:firstRow="0" w:lastRow="0" w:firstColumn="0" w:lastColumn="0" w:noHBand="0" w:noVBand="0"/>
      </w:tblPr>
      <w:tblGrid>
        <w:gridCol w:w="500"/>
        <w:gridCol w:w="8120"/>
      </w:tblGrid>
      <w:tr w:rsidR="00DC3D49" w14:paraId="4C39A989" w14:textId="77777777">
        <w:tc>
          <w:tcPr>
            <w:tcW w:w="500" w:type="dxa"/>
            <w:tcBorders>
              <w:top w:val="nil"/>
              <w:left w:val="nil"/>
              <w:bottom w:val="nil"/>
              <w:right w:val="nil"/>
            </w:tcBorders>
            <w:vAlign w:val="center"/>
          </w:tcPr>
          <w:p w14:paraId="13D1C23A" w14:textId="2FAC2942" w:rsidR="00DC3D49" w:rsidRDefault="00C837FF">
            <w:pPr>
              <w:autoSpaceDE w:val="0"/>
              <w:autoSpaceDN w:val="0"/>
              <w:adjustRightInd w:val="0"/>
              <w:spacing w:after="0" w:line="240" w:lineRule="auto"/>
              <w:ind w:left="400"/>
              <w:rPr>
                <w:rFonts w:ascii="Arial" w:hAnsi="Arial" w:cs="Arial"/>
                <w:kern w:val="0"/>
              </w:rPr>
            </w:pPr>
            <w:r>
              <w:rPr>
                <w:rFonts w:ascii="Arial" w:hAnsi="Arial"/>
                <w:noProof/>
              </w:rPr>
              <w:drawing>
                <wp:inline distT="0" distB="0" distL="0" distR="0" wp14:anchorId="4E3F5943" wp14:editId="0DE89BC2">
                  <wp:extent cx="103505" cy="103505"/>
                  <wp:effectExtent l="0" t="0" r="0" b="0"/>
                  <wp:docPr id="6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7114F64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reconstitución de una exposición sintética a un título, un sector de actividad y/o al Índice 100% STOXX 50 (EUROPE) a través de la utilización de «total </w:t>
            </w:r>
            <w:proofErr w:type="spellStart"/>
            <w:r>
              <w:rPr>
                <w:rFonts w:ascii="Arial" w:hAnsi="Arial"/>
                <w:color w:val="000000"/>
                <w:sz w:val="20"/>
              </w:rPr>
              <w:t>return</w:t>
            </w:r>
            <w:proofErr w:type="spellEnd"/>
            <w:r>
              <w:rPr>
                <w:rFonts w:ascii="Arial" w:hAnsi="Arial"/>
                <w:color w:val="000000"/>
                <w:sz w:val="20"/>
              </w:rPr>
              <w:t xml:space="preserve"> swaps».</w:t>
            </w:r>
          </w:p>
        </w:tc>
      </w:tr>
      <w:tr w:rsidR="00DC3D49" w14:paraId="32D96CDC" w14:textId="77777777">
        <w:tc>
          <w:tcPr>
            <w:tcW w:w="500" w:type="dxa"/>
            <w:tcBorders>
              <w:top w:val="nil"/>
              <w:left w:val="nil"/>
              <w:bottom w:val="nil"/>
              <w:right w:val="nil"/>
            </w:tcBorders>
            <w:vAlign w:val="center"/>
          </w:tcPr>
          <w:p w14:paraId="5B29C436" w14:textId="1FD521FE"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6F502F83" wp14:editId="43188C8F">
                  <wp:extent cx="103505" cy="103505"/>
                  <wp:effectExtent l="0" t="0" r="0" b="0"/>
                  <wp:docPr id="67"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6C59247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Gestión de los flujos intermedios (dividendos, suscripciones/reembolsos...) para alcanzar el grado de exposición deseada a un título, un sector de actividad y/o al Índice 100% STOXX 50 (EUROPE) a través de la utilización de futuros.</w:t>
            </w:r>
          </w:p>
        </w:tc>
      </w:tr>
      <w:tr w:rsidR="00DC3D49" w14:paraId="6C69704F" w14:textId="77777777">
        <w:tc>
          <w:tcPr>
            <w:tcW w:w="500" w:type="dxa"/>
            <w:tcBorders>
              <w:top w:val="nil"/>
              <w:left w:val="nil"/>
              <w:bottom w:val="nil"/>
              <w:right w:val="nil"/>
            </w:tcBorders>
            <w:vAlign w:val="center"/>
          </w:tcPr>
          <w:p w14:paraId="5A31F63B" w14:textId="1187FE25"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723B9C10" wp14:editId="790009E1">
                  <wp:extent cx="103505" cy="103505"/>
                  <wp:effectExtent l="0" t="0" r="0" b="0"/>
                  <wp:docPr id="68"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tc>
        <w:tc>
          <w:tcPr>
            <w:tcW w:w="8120" w:type="dxa"/>
            <w:tcBorders>
              <w:top w:val="nil"/>
              <w:left w:val="nil"/>
              <w:bottom w:val="nil"/>
              <w:right w:val="nil"/>
            </w:tcBorders>
            <w:vAlign w:val="center"/>
          </w:tcPr>
          <w:p w14:paraId="49C02C1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Gestión de los flujos intermedios (dividendos, suscripciones/reembolsos...) para alcanzar el grado de exposición deseada a un título, un sector de actividad y/o al Índice 100% STOXX 50 (EUROPE) a través de la utilización de opciones.</w:t>
            </w:r>
          </w:p>
        </w:tc>
      </w:tr>
    </w:tbl>
    <w:p w14:paraId="240678BE"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Estos instrumentos son susceptibles de servir como cobertura de hasta el 100 % del activo neto del Fondo.</w:t>
      </w:r>
    </w:p>
    <w:p w14:paraId="2752D62F"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título indicativo, en la creación del fondo, las permutas financieras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representan alrededor del 100 % del activo neto, representan un máximo del 110 % en su duración. </w:t>
      </w:r>
    </w:p>
    <w:p w14:paraId="2FEF95A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Los activos mantenidos por el Fondo y sobre cuya rentabilidad se valoran las permutas financieras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se mantienen en poder del depositario. </w:t>
      </w:r>
    </w:p>
    <w:p w14:paraId="154CF39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permuta financiera a plazo sobre la rentabilidad global («total </w:t>
      </w:r>
      <w:proofErr w:type="spellStart"/>
      <w:r>
        <w:rPr>
          <w:rFonts w:ascii="Arial" w:hAnsi="Arial"/>
          <w:color w:val="000000"/>
          <w:sz w:val="20"/>
        </w:rPr>
        <w:t>return</w:t>
      </w:r>
      <w:proofErr w:type="spellEnd"/>
      <w:r>
        <w:rPr>
          <w:rFonts w:ascii="Arial" w:hAnsi="Arial"/>
          <w:color w:val="000000"/>
          <w:sz w:val="20"/>
        </w:rPr>
        <w:t xml:space="preserve"> swap») se mantiene en su posición en los libros del depositario.</w:t>
      </w:r>
    </w:p>
    <w:p w14:paraId="442901F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compromiso respecto de los instrumentos derivados se limita al 110 % del activo neto.</w:t>
      </w:r>
    </w:p>
    <w:p w14:paraId="743CC647"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4. Títulos que integran derivados: Ninguna</w:t>
      </w:r>
    </w:p>
    <w:p w14:paraId="5A8F8D6C"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5. Depósitos y liquidez:</w:t>
      </w:r>
    </w:p>
    <w:p w14:paraId="50315D59" w14:textId="77777777" w:rsidR="00DC3D49" w:rsidRDefault="00DC3D49">
      <w:pPr>
        <w:autoSpaceDE w:val="0"/>
        <w:autoSpaceDN w:val="0"/>
        <w:adjustRightInd w:val="0"/>
        <w:spacing w:before="200" w:after="0" w:line="240" w:lineRule="auto"/>
        <w:rPr>
          <w:rFonts w:ascii="Arial" w:hAnsi="Arial" w:cs="Arial"/>
          <w:color w:val="000000"/>
          <w:kern w:val="0"/>
          <w:sz w:val="20"/>
          <w:szCs w:val="20"/>
        </w:rPr>
      </w:pPr>
      <w:r>
        <w:rPr>
          <w:rFonts w:ascii="Arial" w:hAnsi="Arial"/>
          <w:color w:val="000000"/>
          <w:sz w:val="20"/>
        </w:rPr>
        <w:t>El Fondo puede efectuar depósitos por una duración máxima de doce meses hasta el límite del 20 % de su activo neto. Estos depósitos contribuyen al cumplimiento del objetivo de gestión del Fondo, permitiéndole gestionar la tesorería.</w:t>
      </w:r>
    </w:p>
    <w:p w14:paraId="10D6F581"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lastRenderedPageBreak/>
        <w:t>6. Préstamos en efectivo:</w:t>
      </w:r>
    </w:p>
    <w:p w14:paraId="219504FF"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De manera excepcional y temporal, el Fondo podrá recurrir, con el límite del 10 % de su activo neto, a préstamos a fin de optimizar la gestión de su tesorería.</w:t>
      </w:r>
    </w:p>
    <w:p w14:paraId="6CED67C7" w14:textId="77777777" w:rsidR="00DC3D49" w:rsidRDefault="00DC3D49">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b/>
          <w:color w:val="000000"/>
          <w:sz w:val="20"/>
          <w:u w:val="single"/>
        </w:rPr>
        <w:t>7. Operaciones de adquisiciones y cesiones temporales de valores: Ninguna</w:t>
      </w:r>
    </w:p>
    <w:p w14:paraId="6AB31F86" w14:textId="42700330" w:rsidR="00DC3D49" w:rsidRDefault="00C837FF">
      <w:pPr>
        <w:autoSpaceDE w:val="0"/>
        <w:autoSpaceDN w:val="0"/>
        <w:adjustRightInd w:val="0"/>
        <w:spacing w:before="200" w:after="0" w:line="240" w:lineRule="auto"/>
        <w:jc w:val="both"/>
        <w:rPr>
          <w:rFonts w:ascii="Arial" w:hAnsi="Arial" w:cs="Arial"/>
          <w:b/>
          <w:bCs/>
          <w:color w:val="000000"/>
          <w:kern w:val="0"/>
          <w:sz w:val="20"/>
          <w:szCs w:val="20"/>
          <w:u w:val="single"/>
        </w:rPr>
      </w:pPr>
      <w:r>
        <w:rPr>
          <w:rFonts w:ascii="Arial" w:hAnsi="Arial"/>
          <w:noProof/>
        </w:rPr>
        <w:drawing>
          <wp:inline distT="0" distB="0" distL="0" distR="0" wp14:anchorId="73DF0C2B" wp14:editId="54B1C218">
            <wp:extent cx="127000" cy="127000"/>
            <wp:effectExtent l="0" t="0" r="0" b="0"/>
            <wp:docPr id="6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Información relativa a las garantías financieras (adquisición y cesiones temporales de títulos) y otras permutas financieras sobre la rentabilidad global (TRS):</w:t>
      </w:r>
    </w:p>
    <w:p w14:paraId="74CD369C" w14:textId="77777777" w:rsidR="00DC3D49" w:rsidRDefault="00DC3D49">
      <w:pPr>
        <w:autoSpaceDE w:val="0"/>
        <w:autoSpaceDN w:val="0"/>
        <w:adjustRightInd w:val="0"/>
        <w:spacing w:after="0" w:line="240" w:lineRule="auto"/>
        <w:jc w:val="both"/>
        <w:rPr>
          <w:rFonts w:ascii="Arial" w:hAnsi="Arial" w:cs="Arial"/>
          <w:b/>
          <w:bCs/>
          <w:color w:val="000000"/>
          <w:kern w:val="0"/>
          <w:sz w:val="20"/>
          <w:szCs w:val="20"/>
          <w:u w:val="single"/>
        </w:rPr>
      </w:pPr>
    </w:p>
    <w:p w14:paraId="7FB50431"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Naturaleza de las garantías financieras:</w:t>
      </w:r>
    </w:p>
    <w:p w14:paraId="5E6EC00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el marco de las operaciones de adquisiciones y cesiones temporales de valores y de las operaciones sobre derivados negociados en mercados extrabursátiles (OTC), el Fondo puede recibir como garantía (denominada colateral) valores y efectivo.</w:t>
      </w:r>
    </w:p>
    <w:p w14:paraId="59C928C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Pueden aplicarse descuentos al colateral recibido, los cuales tienen en cuenta, especialmente, la naturaleza, el vencimiento, la calidad del crédito y la divisa, así como la volatilidad de los precios de los valores y el resultado de las simulaciones de crisis realizadas.</w:t>
      </w:r>
    </w:p>
    <w:p w14:paraId="152F280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títulos recibidos en garantía deben respetar los criterios definidos por la Sociedad Gestora. Deben ser:</w:t>
      </w:r>
    </w:p>
    <w:p w14:paraId="4D1F4911" w14:textId="3EF538BB" w:rsidR="00DC3D49" w:rsidRPr="00A9323A" w:rsidRDefault="00DC3D49" w:rsidP="00A9323A">
      <w:pPr>
        <w:pStyle w:val="ListParagraph"/>
        <w:numPr>
          <w:ilvl w:val="0"/>
          <w:numId w:val="2"/>
        </w:num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líquidos,</w:t>
      </w:r>
    </w:p>
    <w:p w14:paraId="4442F7AE" w14:textId="608E39F2" w:rsidR="00DC3D49" w:rsidRPr="00A9323A" w:rsidRDefault="00DC3D49" w:rsidP="00A9323A">
      <w:pPr>
        <w:pStyle w:val="ListParagraph"/>
        <w:numPr>
          <w:ilvl w:val="0"/>
          <w:numId w:val="2"/>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vendibles en todo momento,</w:t>
      </w:r>
    </w:p>
    <w:p w14:paraId="58249445" w14:textId="4B51D4DA" w:rsidR="00DC3D49" w:rsidRPr="00A9323A" w:rsidRDefault="00DC3D49" w:rsidP="00A9323A">
      <w:pPr>
        <w:pStyle w:val="ListParagraph"/>
        <w:numPr>
          <w:ilvl w:val="0"/>
          <w:numId w:val="2"/>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diversificados en cuanto a las normas de elegibilidad, de exposición y de diversificación del OICVM,</w:t>
      </w:r>
    </w:p>
    <w:p w14:paraId="0E58EE8A" w14:textId="1D5F842B" w:rsidR="00DC3D49" w:rsidRPr="00A9323A" w:rsidRDefault="00DC3D49" w:rsidP="00A9323A">
      <w:pPr>
        <w:pStyle w:val="ListParagraph"/>
        <w:numPr>
          <w:ilvl w:val="0"/>
          <w:numId w:val="2"/>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emitidos por un emisor que no sea una entidad de la contraparte o de su grupo.</w:t>
      </w:r>
    </w:p>
    <w:p w14:paraId="04C3E4F3"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Para las obligaciones, los títulos serán emitidos por emisores situados en la OCDE y de alta calidad, cuya calificación mínima oscile entre AAA y BBB- en la escala de Standard &amp; </w:t>
      </w:r>
      <w:proofErr w:type="spellStart"/>
      <w:r>
        <w:rPr>
          <w:rFonts w:ascii="Arial" w:hAnsi="Arial"/>
          <w:color w:val="000000"/>
          <w:sz w:val="20"/>
        </w:rPr>
        <w:t>Poor’s</w:t>
      </w:r>
      <w:proofErr w:type="spellEnd"/>
      <w:r>
        <w:rPr>
          <w:rFonts w:ascii="Arial" w:hAnsi="Arial"/>
          <w:color w:val="000000"/>
          <w:sz w:val="20"/>
        </w:rPr>
        <w:t xml:space="preserve"> o gocen de una calificación que la sociedad de gestión considere equivalente. Los títulos de renta fija deben tener un vencimiento máximo de 50 años.</w:t>
      </w:r>
    </w:p>
    <w:p w14:paraId="6A32F65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Los criterios descritos anteriormente se detallan en una Política de Riesgos que puede consultarse en la página web de la Sociedad Gestora: www.amundi.com y podrán sufrir modificaciones, principalmente, en circunstancias excepcionales de mercado.</w:t>
      </w:r>
    </w:p>
    <w:p w14:paraId="4020A2E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Pueden aplicarse descuentos al colateral recibido, los cuales tienen en cuenta la calidad del crédito, la volatilidad de los precios de los valores, así como el resultado de las simulaciones de crisis realizadas.</w:t>
      </w:r>
    </w:p>
    <w:p w14:paraId="3F1615B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Reutilización del colateral efectivo recibido: El colateral efectivo recibido puede invertirse en depósitos, en bonos del Estado, en operaciones de pactos de recompra o en OICVM monetarios a corto plazo, según la Política de Riesgos de la Sociedad Gestora.</w:t>
      </w:r>
    </w:p>
    <w:p w14:paraId="4D4CD8B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Reutilización del colateral de valores recibido:</w:t>
      </w:r>
    </w:p>
    <w:p w14:paraId="1823A5C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No autorizado: Los valores recibidos en garantía no pueden venderse, reinvertirse o utilizarse como garantía.</w:t>
      </w:r>
    </w:p>
    <w:p w14:paraId="2A9B71FA" w14:textId="5D852BFC"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31975794" wp14:editId="2ED932F8">
            <wp:extent cx="127000" cy="127000"/>
            <wp:effectExtent l="0" t="0" r="0" b="0"/>
            <wp:docPr id="74"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Breve descripción del proceso de selección de los intermediarios y posibles comentarios:</w:t>
      </w:r>
    </w:p>
    <w:p w14:paraId="28703D84"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4F4C58B"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La Sociedad Gestora actúa generalmente por licitaciones. En el presente caso, se ha realizado una licitación global (permuta financiera a plazo y creación de mercado) para una parte de la gama del Fondo AMUNDI ETF. En consecuencia, la Sociedad Gestora no inicia ni iniciará para este Fondo concreto ningún procedimiento formal, trazable y controlable de concurso de adjudicaciones de las contrapartes de los instrumentos financieros a plazo formalizados de mutuo acuerdo, cuya contraparte ya haya sido seleccionada en la licitación global. El Fondo podrá realizar dichas operaciones con BNP </w:t>
      </w:r>
      <w:proofErr w:type="spellStart"/>
      <w:r>
        <w:rPr>
          <w:rFonts w:ascii="Arial" w:hAnsi="Arial"/>
          <w:color w:val="000000"/>
          <w:sz w:val="20"/>
        </w:rPr>
        <w:t>Paribas</w:t>
      </w:r>
      <w:proofErr w:type="spellEnd"/>
      <w:r>
        <w:rPr>
          <w:rFonts w:ascii="Arial" w:hAnsi="Arial"/>
          <w:color w:val="000000"/>
          <w:sz w:val="20"/>
        </w:rPr>
        <w:t xml:space="preserve"> S.A. o cualquier otra sociedad del grupo BNP </w:t>
      </w:r>
      <w:proofErr w:type="spellStart"/>
      <w:r>
        <w:rPr>
          <w:rFonts w:ascii="Arial" w:hAnsi="Arial"/>
          <w:color w:val="000000"/>
          <w:sz w:val="20"/>
        </w:rPr>
        <w:t>Paribas</w:t>
      </w:r>
      <w:proofErr w:type="spellEnd"/>
      <w:r>
        <w:rPr>
          <w:rFonts w:ascii="Arial" w:hAnsi="Arial"/>
          <w:color w:val="000000"/>
          <w:sz w:val="20"/>
        </w:rPr>
        <w:t> S.A., en calidad de contrapartes e intermediarios.</w:t>
      </w:r>
    </w:p>
    <w:p w14:paraId="6D4B6878" w14:textId="29490DEC"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60798DE" wp14:editId="74D1A237">
            <wp:extent cx="127000" cy="127000"/>
            <wp:effectExtent l="0" t="0" r="0" b="0"/>
            <wp:docPr id="7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Perfil de riesgo: </w:t>
      </w:r>
    </w:p>
    <w:p w14:paraId="1FD6DB73" w14:textId="77777777" w:rsidR="00DC3D49" w:rsidRDefault="00DC3D49">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Su dinero se invertirá principalmente en instrumentos financieros seleccionados por la Sociedad de gestión</w:t>
      </w:r>
      <w:r>
        <w:rPr>
          <w:rFonts w:ascii="Arial" w:hAnsi="Arial"/>
          <w:color w:val="000000"/>
          <w:sz w:val="20"/>
        </w:rPr>
        <w:t xml:space="preserve">. </w:t>
      </w:r>
      <w:r>
        <w:rPr>
          <w:rFonts w:ascii="Arial" w:hAnsi="Arial"/>
          <w:i/>
          <w:color w:val="000000"/>
          <w:sz w:val="20"/>
        </w:rPr>
        <w:t>Estos instrumentos experimentarán las evoluciones y los contratiempos de los mercados.</w:t>
      </w:r>
    </w:p>
    <w:p w14:paraId="10AD877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C32F0E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Se advierte al inversor de que su capital no está garantizado y por lo tanto puede no recuperarlo.</w:t>
      </w:r>
    </w:p>
    <w:p w14:paraId="794FC79B"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El Fondo presenta una volatilidad elevada por la exposición a los mercados de renta variable.</w:t>
      </w:r>
    </w:p>
    <w:p w14:paraId="04A98211"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A través de las inversiones del Fondo, los principales riesgos a los que puede estar expuesto el inversor son los siguientes: </w:t>
      </w:r>
    </w:p>
    <w:p w14:paraId="75EF8A48" w14:textId="19650038" w:rsidR="00DC3D49" w:rsidRDefault="00857814">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w:t>
      </w:r>
      <w:r w:rsidR="00DC3D49">
        <w:rPr>
          <w:rFonts w:ascii="Arial" w:hAnsi="Arial"/>
          <w:color w:val="000000"/>
          <w:sz w:val="20"/>
        </w:rPr>
        <w:t> </w:t>
      </w:r>
      <w:r w:rsidR="00DC3D49">
        <w:rPr>
          <w:rFonts w:ascii="Arial" w:hAnsi="Arial"/>
          <w:color w:val="000000"/>
          <w:sz w:val="20"/>
          <w:u w:val="single"/>
        </w:rPr>
        <w:t>Riesgo de acciones</w:t>
      </w:r>
      <w:r w:rsidR="00DC3D49">
        <w:rPr>
          <w:rFonts w:ascii="Arial" w:hAnsi="Arial"/>
          <w:color w:val="000000"/>
          <w:sz w:val="20"/>
        </w:rPr>
        <w:t xml:space="preserve">: </w:t>
      </w:r>
    </w:p>
    <w:p w14:paraId="0198F0A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Fondo está expuesto en un 100 % al Índice 100% STOXX 50 (EUROPE). Sin embargo, en caso de que se realicen ajustes vinculados a las suscripciones o reembolsos, la exposición puede superar de forma residual el límite. Por lo tanto, el Fondo está expuesto a los riesgos de mercado vinculados a la evolución de los valores que componen el Índice 100% STOXX 50 (EUROPE). Las variaciones de los mercados de renta variable pueden implicar variaciones importantes del activo neto que pueden tener consecuencias negativas en la evolución del valor liquidativo del Fondo. Por tanto, el valor liquidativo del Fondo puede reducirse de forma significativa. En consecuencia, el Fondo tiene un riesgo de acciones elevado.</w:t>
      </w:r>
    </w:p>
    <w:p w14:paraId="63542FB8"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u w:val="single"/>
        </w:rPr>
      </w:pPr>
      <w:r>
        <w:rPr>
          <w:rFonts w:ascii="Arial" w:hAnsi="Arial"/>
          <w:color w:val="000000"/>
          <w:sz w:val="20"/>
        </w:rPr>
        <w:t xml:space="preserve">- </w:t>
      </w:r>
      <w:r>
        <w:rPr>
          <w:rFonts w:ascii="Arial" w:hAnsi="Arial"/>
          <w:color w:val="000000"/>
          <w:sz w:val="20"/>
          <w:u w:val="single"/>
        </w:rPr>
        <w:t xml:space="preserve">Riesgo vinculado a la evolución del Índice </w:t>
      </w:r>
      <w:r>
        <w:rPr>
          <w:rFonts w:ascii="Arial" w:hAnsi="Arial"/>
          <w:color w:val="000000"/>
          <w:sz w:val="20"/>
        </w:rPr>
        <w:t>100% STOXX 50 (EUROPE)</w:t>
      </w:r>
      <w:r>
        <w:rPr>
          <w:rFonts w:ascii="Arial" w:hAnsi="Arial"/>
          <w:color w:val="000000"/>
          <w:sz w:val="20"/>
          <w:u w:val="single"/>
        </w:rPr>
        <w:t>:</w:t>
      </w:r>
    </w:p>
    <w:p w14:paraId="2FB7A0E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particular, el Fondo está expuesto a la evolución, tanto a la baja como al alza, del Índice 100% STOXX 50 (EUROPE). Por lo tanto, el Fondo está expuesto a los riesgos de mercado vinculados a la evolución del Índice 100% STOXX 50 (EUROPE). En caso de que se produzca un descenso en el Índice 100% STOXX 50 (EUROPE), el valor del Fondo disminuirá.</w:t>
      </w:r>
    </w:p>
    <w:p w14:paraId="32A3A06B"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 </w:t>
      </w:r>
      <w:r>
        <w:rPr>
          <w:rFonts w:ascii="Arial" w:hAnsi="Arial"/>
          <w:color w:val="000000"/>
          <w:sz w:val="20"/>
          <w:u w:val="single"/>
        </w:rPr>
        <w:t>Factores que pueden influir en la capacidad del Fondo para replicar la rentabilidad del Índice 100% STOXX 50 (EUROPE)</w:t>
      </w:r>
      <w:r>
        <w:rPr>
          <w:rFonts w:ascii="Arial" w:hAnsi="Arial"/>
          <w:color w:val="000000"/>
          <w:sz w:val="20"/>
        </w:rPr>
        <w:t xml:space="preserve">: </w:t>
      </w:r>
    </w:p>
    <w:p w14:paraId="4A4E0A0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capacidad del Fondo para replicar la rentabilidad del Índice 100% STOXX 50 (EUROPE) podrá verse afectada especialmente por los factores siguientes:</w:t>
      </w:r>
    </w:p>
    <w:p w14:paraId="2EE4851E" w14:textId="2F351F4D"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C8036CB" wp14:editId="4DD994FA">
            <wp:extent cx="127000" cy="127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las reponderaciones del Índice 100% STOXX 50 (EUROPE) replicado por el Fondo podrán implicar, principalmente, ciertos costes de transacción y/o de fricción; </w:t>
      </w:r>
    </w:p>
    <w:p w14:paraId="0FD3950F" w14:textId="13B988F2"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1DC2E1CA" wp14:editId="4BF511D2">
            <wp:extent cx="127000" cy="127000"/>
            <wp:effectExtent l="0" t="0" r="0" b="0"/>
            <wp:docPr id="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 existencia de tasas de mercado;</w:t>
      </w:r>
    </w:p>
    <w:p w14:paraId="430A2D07" w14:textId="6B55431B"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585CC644" wp14:editId="47F05E0F">
            <wp:extent cx="127000" cy="127000"/>
            <wp:effectExtent l="0" t="0" r="0" b="0"/>
            <wp:docPr id="78"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y/o debido a pequeñas diferencias de valoración que no conlleven una suspensión del cálculo del valor liquidativo del Fondo. Dichas diferencias pueden deberse a la falta de disponibilidad temporal de ciertos valores que forman el Índice 100% STOXX 50 (EUROPE) o por circunstancias excepcionales que tendrían como objeto la distorsión de las ponderaciones del Índice 100% STOXX 50 (EUROPE), y principalmente en caso de suspensión o de interrupción temporal de la cotización de los valores que componen el Índice 100% STOXX 50 (EUROPE).</w:t>
      </w:r>
    </w:p>
    <w:p w14:paraId="366BBC54"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 </w:t>
      </w:r>
      <w:r>
        <w:rPr>
          <w:rFonts w:ascii="Arial" w:hAnsi="Arial"/>
          <w:color w:val="000000"/>
          <w:sz w:val="20"/>
          <w:u w:val="single"/>
        </w:rPr>
        <w:t>Riesgo de crédito</w:t>
      </w:r>
      <w:r>
        <w:rPr>
          <w:rFonts w:ascii="Arial" w:hAnsi="Arial"/>
          <w:color w:val="000000"/>
          <w:sz w:val="20"/>
        </w:rPr>
        <w:t xml:space="preserve">: </w:t>
      </w:r>
    </w:p>
    <w:p w14:paraId="5E24BB2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Representa el riesgo de deterioro de la calidad crediticia de un emisor o el de incumplimiento. Este deterioro puede dar lugar a un descenso del valor de un título y, por lo tanto, a un descenso del valor liquidativo.</w:t>
      </w:r>
    </w:p>
    <w:p w14:paraId="422CC2C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 </w:t>
      </w:r>
      <w:r>
        <w:rPr>
          <w:rFonts w:ascii="Arial" w:hAnsi="Arial"/>
          <w:color w:val="000000"/>
          <w:sz w:val="20"/>
          <w:u w:val="single"/>
        </w:rPr>
        <w:t>Riesgo de contraparte relacionado con el modo de réplica sintética elegido</w:t>
      </w:r>
      <w:r>
        <w:rPr>
          <w:rFonts w:ascii="Arial" w:hAnsi="Arial"/>
          <w:color w:val="000000"/>
          <w:sz w:val="20"/>
        </w:rPr>
        <w:t>:</w:t>
      </w:r>
    </w:p>
    <w:p w14:paraId="4A3A011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Con el fin de alcanzar su objetivo de gestión, el Fondo podrá recurrir a instrumentos financieros a plazo (particularmente las permutas financieras de rentabilidad total o «total </w:t>
      </w:r>
      <w:proofErr w:type="spellStart"/>
      <w:r>
        <w:rPr>
          <w:rFonts w:ascii="Arial" w:hAnsi="Arial"/>
          <w:color w:val="000000"/>
          <w:sz w:val="20"/>
        </w:rPr>
        <w:t>return</w:t>
      </w:r>
      <w:proofErr w:type="spellEnd"/>
      <w:r>
        <w:rPr>
          <w:rFonts w:ascii="Arial" w:hAnsi="Arial"/>
          <w:color w:val="000000"/>
          <w:sz w:val="20"/>
        </w:rPr>
        <w:t xml:space="preserve"> swaps») negociados de forma extrabursátil con una entidad de crédito. El Fondo estará expuesto al riesgo de contraparte resultante de la utilización de instrumentos financieros a plazo formalizados con una entidad de crédito. Por tanto, el Fondo está expuesto al riesgo de que esta entidad de crédito no pueda cumplir con sus compromisos en relación con de esos instrumentos. El incumplimiento de la contraparte de la permuta financiera o «swap» (o de cualquier otro emisor) podrá provocar una bajada en el valor liquidativo del Fondo. No obstante y conforme a la normativa en vigor, el riesgo de contraparte resultante de la utilización de instrumentos financieros a término se limitará en todo momento al 10 % del activo neto del Fondo por contraparte.</w:t>
      </w:r>
    </w:p>
    <w:p w14:paraId="2E47FE22"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Fondo también puede estar expuesto a dificultades de negociación o a una imposibilidad temporal de negociación de determinados valores en los que invierte el Fondo en caso de fallo de una contraparte de permutas financieras sobre la rentabilidad global (TRS).</w:t>
      </w:r>
    </w:p>
    <w:p w14:paraId="1AED3C1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u w:val="single"/>
        </w:rPr>
        <w:t>Riesgo jurídico</w:t>
      </w:r>
      <w:r>
        <w:rPr>
          <w:rFonts w:ascii="Arial" w:hAnsi="Arial"/>
          <w:color w:val="000000"/>
          <w:sz w:val="20"/>
        </w:rPr>
        <w:t xml:space="preserve">: </w:t>
      </w:r>
    </w:p>
    <w:p w14:paraId="1A26FAC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utilización de las adquisiciones y cesiones temporales de títulos y/o permutas financieras sobre la rentabilidad global (TRS) puede conllevar un riesgo jurídico, en especial relativo a los contratos. </w:t>
      </w:r>
    </w:p>
    <w:p w14:paraId="646E5AA9" w14:textId="77777777" w:rsidR="00DC3D49" w:rsidRDefault="00DC3D49">
      <w:pPr>
        <w:autoSpaceDE w:val="0"/>
        <w:autoSpaceDN w:val="0"/>
        <w:adjustRightInd w:val="0"/>
        <w:spacing w:before="100" w:after="0" w:line="240" w:lineRule="auto"/>
        <w:ind w:right="80"/>
        <w:jc w:val="both"/>
        <w:rPr>
          <w:rFonts w:ascii="Arial" w:hAnsi="Arial" w:cs="Arial"/>
          <w:color w:val="000000"/>
          <w:kern w:val="0"/>
          <w:sz w:val="20"/>
          <w:szCs w:val="20"/>
        </w:rPr>
      </w:pPr>
      <w:r>
        <w:rPr>
          <w:rFonts w:ascii="Arial" w:hAnsi="Arial"/>
          <w:color w:val="000000"/>
          <w:sz w:val="20"/>
        </w:rPr>
        <w:t>— </w:t>
      </w:r>
      <w:r>
        <w:rPr>
          <w:rFonts w:ascii="Arial" w:hAnsi="Arial"/>
          <w:color w:val="000000"/>
          <w:sz w:val="20"/>
          <w:u w:val="single"/>
        </w:rPr>
        <w:t>Riesgo cambiario</w:t>
      </w:r>
      <w:r>
        <w:rPr>
          <w:rFonts w:ascii="Arial" w:hAnsi="Arial"/>
          <w:color w:val="000000"/>
          <w:sz w:val="20"/>
        </w:rPr>
        <w:t>:</w:t>
      </w:r>
    </w:p>
    <w:p w14:paraId="7898E719"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La participación EUR presenta un riesgo de cambio vinculado a la exposición del Índice 100% STOXX 50 (EUROPE), como resultado de la evolución de las divisas de referencia de los valores que componen el Índice 100% STOXX 50 (EUROPE) que reproduce el Fondo. Así pues, el inversor está expuesto a las variaciones de los tipos de cambio de estas divisas frente a la divisa </w:t>
      </w:r>
    </w:p>
    <w:p w14:paraId="1CE6A4E4"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de la participación en la que invierte. </w:t>
      </w:r>
    </w:p>
    <w:p w14:paraId="57508D94"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 </w:t>
      </w:r>
    </w:p>
    <w:p w14:paraId="48543CEF"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Usted está expuesto al riesgo cambiario entre las divisas de las acciones que comprenden el Índice y la divisa del Fondo.</w:t>
      </w:r>
    </w:p>
    <w:p w14:paraId="62B27251"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t xml:space="preserve"> </w:t>
      </w:r>
    </w:p>
    <w:p w14:paraId="72D870EE" w14:textId="77777777" w:rsidR="00DC3D49" w:rsidRDefault="00DC3D49">
      <w:pPr>
        <w:autoSpaceDE w:val="0"/>
        <w:autoSpaceDN w:val="0"/>
        <w:adjustRightInd w:val="0"/>
        <w:spacing w:after="0" w:line="240" w:lineRule="auto"/>
        <w:ind w:right="80"/>
        <w:jc w:val="both"/>
        <w:rPr>
          <w:rFonts w:ascii="Arial" w:hAnsi="Arial" w:cs="Arial"/>
          <w:color w:val="000000"/>
          <w:kern w:val="0"/>
          <w:sz w:val="20"/>
          <w:szCs w:val="20"/>
        </w:rPr>
      </w:pPr>
      <w:r>
        <w:rPr>
          <w:rFonts w:ascii="Arial" w:hAnsi="Arial"/>
          <w:color w:val="000000"/>
          <w:sz w:val="20"/>
        </w:rPr>
        <w:lastRenderedPageBreak/>
        <w:t>El riesgo cambiario puede llegar hasta el 100 % del activo neto del Fondo.</w:t>
      </w:r>
    </w:p>
    <w:p w14:paraId="74713CB0" w14:textId="06469409"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u w:val="single"/>
        </w:rPr>
      </w:pPr>
      <w:r>
        <w:rPr>
          <w:rFonts w:ascii="Arial" w:hAnsi="Arial"/>
          <w:noProof/>
        </w:rPr>
        <w:drawing>
          <wp:inline distT="0" distB="0" distL="0" distR="0" wp14:anchorId="7A2F0E45" wp14:editId="3132D5F3">
            <wp:extent cx="127000" cy="127000"/>
            <wp:effectExtent l="0" t="0" r="0" b="0"/>
            <wp:docPr id="79"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Riesgo de liquidez:</w:t>
      </w:r>
    </w:p>
    <w:p w14:paraId="3732313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mercados a los que el fondo está expuesto pueden verse afectados temporal y ocasionalmente por una falta de liquidez. Estos desajustes de mercado pueden afectar a las condiciones de los precios a los que el fondo puede liquidar, iniciar o modificar posiciones y, por lo tanto, puede dar lugar a un descenso del valor liquidativo.</w:t>
      </w:r>
    </w:p>
    <w:p w14:paraId="1B97AA09" w14:textId="3F8D5BEE" w:rsidR="00DC3D49" w:rsidRDefault="00C837FF">
      <w:pPr>
        <w:autoSpaceDE w:val="0"/>
        <w:autoSpaceDN w:val="0"/>
        <w:adjustRightInd w:val="0"/>
        <w:spacing w:before="100" w:after="0" w:line="240" w:lineRule="auto"/>
        <w:ind w:left="300"/>
        <w:jc w:val="both"/>
        <w:rPr>
          <w:rFonts w:ascii="Arial" w:hAnsi="Arial" w:cs="Arial"/>
          <w:color w:val="000000"/>
          <w:kern w:val="0"/>
          <w:sz w:val="20"/>
          <w:szCs w:val="20"/>
          <w:u w:val="single"/>
        </w:rPr>
      </w:pPr>
      <w:r>
        <w:rPr>
          <w:rFonts w:ascii="Arial" w:hAnsi="Arial"/>
          <w:noProof/>
        </w:rPr>
        <w:drawing>
          <wp:inline distT="0" distB="0" distL="0" distR="0" wp14:anchorId="7A4358A9" wp14:editId="39C7C2EA">
            <wp:extent cx="127000" cy="127000"/>
            <wp:effectExtent l="0" t="0" r="0" b="0"/>
            <wp:docPr id="80"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u w:val="single"/>
        </w:rPr>
        <w:t xml:space="preserve">Riesgo de liquidez en un lugar de cotización: </w:t>
      </w:r>
    </w:p>
    <w:p w14:paraId="2462C994" w14:textId="54EEF400"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cotización bursátil del Fondo podría diferir de su Precio de referencia. La liquidez del Fondo en un lugar de cotización podría verse afectada por cualquier suspensión que podría deberse entre otras cosas a:</w:t>
      </w:r>
    </w:p>
    <w:p w14:paraId="7CDBEFFB"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i) una suspensión o cancelación de la cotización o del cálculo del Índice 100% STOXX 50 (EUROPE) por parte del proveedor del Índice; </w:t>
      </w:r>
    </w:p>
    <w:p w14:paraId="1C925963"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roofErr w:type="spellStart"/>
      <w:r>
        <w:rPr>
          <w:rFonts w:ascii="Arial" w:hAnsi="Arial"/>
          <w:color w:val="000000"/>
          <w:sz w:val="20"/>
        </w:rPr>
        <w:t>ii</w:t>
      </w:r>
      <w:proofErr w:type="spellEnd"/>
      <w:r>
        <w:rPr>
          <w:rFonts w:ascii="Arial" w:hAnsi="Arial"/>
          <w:color w:val="000000"/>
          <w:sz w:val="20"/>
        </w:rPr>
        <w:t>) una suspensión del/de los mercado/s de los subyacentes del Índice 100% STOXX 50 (EUROPE);</w:t>
      </w:r>
    </w:p>
    <w:p w14:paraId="357BDF57" w14:textId="6E13754B"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roofErr w:type="spellStart"/>
      <w:r>
        <w:rPr>
          <w:rFonts w:ascii="Arial" w:hAnsi="Arial"/>
          <w:color w:val="000000"/>
          <w:sz w:val="20"/>
        </w:rPr>
        <w:t>iii</w:t>
      </w:r>
      <w:proofErr w:type="spellEnd"/>
      <w:r>
        <w:rPr>
          <w:rFonts w:ascii="Arial" w:hAnsi="Arial"/>
          <w:color w:val="000000"/>
          <w:sz w:val="20"/>
        </w:rPr>
        <w:t>) la imposibilidad por parte de un lugar de cotización para obtener o calcular el Precio de referencia del Fondo;</w:t>
      </w:r>
    </w:p>
    <w:p w14:paraId="6C33E52B"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roofErr w:type="spellStart"/>
      <w:r>
        <w:rPr>
          <w:rFonts w:ascii="Arial" w:hAnsi="Arial"/>
          <w:color w:val="000000"/>
          <w:sz w:val="20"/>
        </w:rPr>
        <w:t>iv</w:t>
      </w:r>
      <w:proofErr w:type="spellEnd"/>
      <w:r>
        <w:rPr>
          <w:rFonts w:ascii="Arial" w:hAnsi="Arial"/>
          <w:color w:val="000000"/>
          <w:sz w:val="20"/>
        </w:rPr>
        <w:t xml:space="preserve">) un incumplimiento por parte de un creador de mercado de las reglas aplicables en un lugar de cotización determinado; </w:t>
      </w:r>
    </w:p>
    <w:p w14:paraId="1DEB9749"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v) un fallo en los sistemas informáticos o electrónicos principalmente de un lugar de cotización determinado,</w:t>
      </w:r>
    </w:p>
    <w:p w14:paraId="72179E50" w14:textId="7B87C184"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vi) cualquier otro hecho que impida el cálculo del Precio de referencia del Fondo o la negociación de las participaciones del Fondo. </w:t>
      </w:r>
    </w:p>
    <w:p w14:paraId="0F215841"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w:t>
      </w:r>
      <w:r>
        <w:rPr>
          <w:rFonts w:ascii="Arial" w:hAnsi="Arial"/>
          <w:color w:val="000000"/>
          <w:sz w:val="20"/>
          <w:u w:val="single"/>
        </w:rPr>
        <w:t>Riesgo de sostenibilidad</w:t>
      </w:r>
      <w:r>
        <w:rPr>
          <w:rFonts w:ascii="Arial" w:hAnsi="Arial"/>
          <w:color w:val="000000"/>
          <w:sz w:val="20"/>
        </w:rPr>
        <w:t>:</w:t>
      </w:r>
    </w:p>
    <w:p w14:paraId="0D436C6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es el riesgo asociado a un evento o una situación de carácter medioambiental, social o de gobernanza que, en caso de que se produzca, podría tener un impacto negativo significativo, real o potencial, sobre el valor de la inversión.</w:t>
      </w:r>
    </w:p>
    <w:p w14:paraId="6EA1E356" w14:textId="1915F0B7" w:rsidR="00DC3D49" w:rsidRDefault="00857814">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w:t>
      </w:r>
      <w:r w:rsidR="00DC3D49">
        <w:rPr>
          <w:rFonts w:ascii="Arial" w:hAnsi="Arial"/>
          <w:color w:val="000000"/>
          <w:sz w:val="20"/>
        </w:rPr>
        <w:t> </w:t>
      </w:r>
      <w:r w:rsidR="00DC3D49">
        <w:rPr>
          <w:rFonts w:ascii="Arial" w:hAnsi="Arial"/>
          <w:color w:val="000000"/>
          <w:sz w:val="20"/>
          <w:u w:val="single"/>
        </w:rPr>
        <w:t>Riesgo de cálculo del índice</w:t>
      </w:r>
      <w:r w:rsidR="00DC3D49">
        <w:rPr>
          <w:rFonts w:ascii="Arial" w:hAnsi="Arial"/>
          <w:color w:val="000000"/>
          <w:sz w:val="20"/>
        </w:rPr>
        <w:t>:</w:t>
      </w:r>
    </w:p>
    <w:p w14:paraId="539B3E1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Fondo reproduce un índice determinado y calculado por un proveedor de índices. El proveedor del índice puede afrontar riesgos operativos capaces de generar errores en la determinación, la composición o el cálculo del índice que reproduce el Fondo, lo que puede provocar pérdidas, reducir los beneficios del Fondo o generar desviaciones del objetivo del índice, tal y como se describe en la metodología del índice y en la descripción de las características del Fondo. </w:t>
      </w:r>
    </w:p>
    <w:p w14:paraId="05AB0A0D" w14:textId="73A512FD"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04AD454F" wp14:editId="53D6D48D">
            <wp:extent cx="127000" cy="127000"/>
            <wp:effectExtent l="0" t="0" r="0" b="0"/>
            <wp:docPr id="8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Garantía o protección: </w:t>
      </w:r>
      <w:r>
        <w:rPr>
          <w:rFonts w:ascii="Arial" w:hAnsi="Arial"/>
          <w:color w:val="000000"/>
          <w:sz w:val="20"/>
        </w:rPr>
        <w:t>Ninguna</w:t>
      </w:r>
    </w:p>
    <w:p w14:paraId="4A6D0D12" w14:textId="3A4804BF"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06488932" wp14:editId="7F109599">
            <wp:extent cx="127000" cy="127000"/>
            <wp:effectExtent l="0" t="0" r="0" b="0"/>
            <wp:docPr id="82"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Suscriptores a los que se dirige y perfil tipo del inversor:</w:t>
      </w:r>
    </w:p>
    <w:p w14:paraId="65B87547" w14:textId="5D0062E0"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27C3FE0F" wp14:editId="734C9BC2">
            <wp:extent cx="127000" cy="127000"/>
            <wp:effectExtent l="0" t="0" r="0" b="0"/>
            <wp:docPr id="8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 xml:space="preserve">Suscriptores a los que se dirige: </w:t>
      </w:r>
    </w:p>
    <w:p w14:paraId="478731FB"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Todos los suscriptores </w:t>
      </w:r>
    </w:p>
    <w:p w14:paraId="2895338A" w14:textId="31A1DA02"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24F65673" wp14:editId="3B0B0A95">
            <wp:extent cx="127000" cy="127000"/>
            <wp:effectExtent l="0" t="0" r="0" b="0"/>
            <wp:docPr id="8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 xml:space="preserve">Perfil tipo del inversor: </w:t>
      </w:r>
    </w:p>
    <w:p w14:paraId="7EE7084D"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003663A5"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 xml:space="preserve">Este Fondo está destinado a todo inversor que busque una valorización de su capital a largo plazo y que esté dispuesto a exponerse a los mercados de renta variable de 18 países europeos contando con la oferta de posibilidades de arbitraje a corto plazo. En efecto, el Fondo cotiza continuamente en uno o más mercados de cotización y sus participaciones son permanentemente negociables en bolsa como si fueran simples acciones. Por tanto cuenta con las ventajas de un título cotizado y de un OICVM. </w:t>
      </w:r>
    </w:p>
    <w:p w14:paraId="4199532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2190C4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cantidad de inversión razonable para este Fondo depende de la situación personal del inversor. Para determinarla, se debe tener en cuenta su patrimonio personal, sus necesidades actuales y la duración de la inversión recomendada, así como su deseo de asumir riesgos o bien, al contrario, de optar por una inversión prudente. También se recomienda encarecidamente diversificar suficientemente sus inversiones para no exponerlas únicamente a los riesgos de este Fondo. </w:t>
      </w:r>
    </w:p>
    <w:p w14:paraId="05F94F6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868A23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Se invita a todos los inversores a evaluar su situación particular con su asesor de gestión de patrimonio habitual.</w:t>
      </w:r>
    </w:p>
    <w:p w14:paraId="7124433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participaciones de este Fondo de inversión no pueden ofrecerse ni venderse directa o indirectamente en los Estados Unidos de América (incluidos sus territorios y dominios), a una «Persona estadounidense» o en beneficio de la misma, según se define en el reglamento estadounidense «</w:t>
      </w:r>
      <w:proofErr w:type="spellStart"/>
      <w:r>
        <w:rPr>
          <w:rFonts w:ascii="Arial" w:hAnsi="Arial"/>
          <w:color w:val="000000"/>
          <w:sz w:val="20"/>
        </w:rPr>
        <w:t>Regulation</w:t>
      </w:r>
      <w:proofErr w:type="spellEnd"/>
      <w:r>
        <w:rPr>
          <w:rFonts w:ascii="Arial" w:hAnsi="Arial"/>
          <w:color w:val="000000"/>
          <w:sz w:val="20"/>
        </w:rPr>
        <w:t xml:space="preserve"> S» aprobado por la </w:t>
      </w:r>
      <w:proofErr w:type="spellStart"/>
      <w:r>
        <w:rPr>
          <w:rFonts w:ascii="Arial" w:hAnsi="Arial"/>
          <w:color w:val="000000"/>
          <w:sz w:val="20"/>
        </w:rPr>
        <w:t>Securities</w:t>
      </w:r>
      <w:proofErr w:type="spellEnd"/>
      <w:r>
        <w:rPr>
          <w:rFonts w:ascii="Arial" w:hAnsi="Arial"/>
          <w:color w:val="000000"/>
          <w:sz w:val="20"/>
        </w:rPr>
        <w:t xml:space="preserve"> and Exchange </w:t>
      </w:r>
      <w:proofErr w:type="spellStart"/>
      <w:r>
        <w:rPr>
          <w:rFonts w:ascii="Arial" w:hAnsi="Arial"/>
          <w:color w:val="000000"/>
          <w:sz w:val="20"/>
        </w:rPr>
        <w:t>Commission</w:t>
      </w:r>
      <w:proofErr w:type="spellEnd"/>
      <w:r>
        <w:rPr>
          <w:rFonts w:ascii="Arial" w:hAnsi="Arial"/>
          <w:color w:val="000000"/>
          <w:sz w:val="20"/>
        </w:rPr>
        <w:t xml:space="preserve"> («SEC»). </w:t>
      </w:r>
    </w:p>
    <w:p w14:paraId="17328A8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Por la expresión «Persona estadounidense» se entiende: </w:t>
      </w:r>
    </w:p>
    <w:p w14:paraId="08F8AA0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 toda persona física residente en los Estados Unidos de América; </w:t>
      </w:r>
    </w:p>
    <w:p w14:paraId="469F40E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 toda entidad o sociedad organizada o registrada en virtud de la normativa estadounidense; </w:t>
      </w:r>
    </w:p>
    <w:p w14:paraId="6689DBD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(c) toda sucesión (o «trust») cuyo albacea o administrador sea una Persona estadounidense; </w:t>
      </w:r>
    </w:p>
    <w:p w14:paraId="51C4E0D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 todo fideicomiso en el que uno de los fiduciarios sea una Persona estadounidense; </w:t>
      </w:r>
    </w:p>
    <w:p w14:paraId="08F16D7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 toda agencia o sucursal de una entidad no estadounidense situada en los Estados Unidos de América; </w:t>
      </w:r>
    </w:p>
    <w:p w14:paraId="3102642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(f) toda cuenta gestionada de forma no discrecional (distinta de una herencia o fideicomiso) por un intermediario financiero u otro representante autorizado, constituido o (si se trata de una persona física) residente en los Estados Unidos de América; </w:t>
      </w:r>
    </w:p>
    <w:p w14:paraId="43C7E1F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(g) toda cuenta gestionada de forma discrecional (distinta de una herencia o fideicomiso) por un intermediario financiero u otro representante autorizado, constituido o (si se trata de una persona física) residente en los Estados Unidos de América, y </w:t>
      </w:r>
    </w:p>
    <w:p w14:paraId="6633848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(h) toda entidad o sociedad, cuando esté </w:t>
      </w:r>
    </w:p>
    <w:p w14:paraId="616F64A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(i) organizada o constituida según las leyes de un país que no sean los Estados Unidos de América y </w:t>
      </w:r>
    </w:p>
    <w:p w14:paraId="0974B34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w:t>
      </w:r>
      <w:proofErr w:type="spellStart"/>
      <w:r>
        <w:rPr>
          <w:rFonts w:ascii="Arial" w:hAnsi="Arial"/>
          <w:color w:val="000000"/>
          <w:sz w:val="20"/>
        </w:rPr>
        <w:t>ii</w:t>
      </w:r>
      <w:proofErr w:type="spellEnd"/>
      <w:r>
        <w:rPr>
          <w:rFonts w:ascii="Arial" w:hAnsi="Arial"/>
          <w:color w:val="000000"/>
          <w:sz w:val="20"/>
        </w:rPr>
        <w:t>) establecida por una Persona estadounidense principalmente con el propósito de invertir en valores no registrados según el marco de la Ley de Valores de EE. UU. de 1933 (</w:t>
      </w:r>
      <w:proofErr w:type="spellStart"/>
      <w:r>
        <w:rPr>
          <w:rFonts w:ascii="Arial" w:hAnsi="Arial"/>
          <w:color w:val="000000"/>
          <w:sz w:val="20"/>
        </w:rPr>
        <w:t>Securities</w:t>
      </w:r>
      <w:proofErr w:type="spellEnd"/>
      <w:r>
        <w:rPr>
          <w:rFonts w:ascii="Arial" w:hAnsi="Arial"/>
          <w:color w:val="000000"/>
          <w:sz w:val="20"/>
        </w:rPr>
        <w:t xml:space="preserve"> </w:t>
      </w:r>
      <w:proofErr w:type="spellStart"/>
      <w:r>
        <w:rPr>
          <w:rFonts w:ascii="Arial" w:hAnsi="Arial"/>
          <w:color w:val="000000"/>
          <w:sz w:val="20"/>
        </w:rPr>
        <w:t>Act</w:t>
      </w:r>
      <w:proofErr w:type="spellEnd"/>
      <w:r>
        <w:rPr>
          <w:rFonts w:ascii="Arial" w:hAnsi="Arial"/>
          <w:color w:val="000000"/>
          <w:sz w:val="20"/>
        </w:rPr>
        <w:t>), en su versión modificada, a menos que esté organizada o constituida y esté en poder de «Inversores acreditados» (según se define dicho término por la «Norma 501 (a)» de la Ley de 1933, en su versión modificada) que no sean personas físicas, sucesiones o «</w:t>
      </w:r>
      <w:proofErr w:type="spellStart"/>
      <w:r>
        <w:rPr>
          <w:rFonts w:ascii="Arial" w:hAnsi="Arial"/>
          <w:color w:val="000000"/>
          <w:sz w:val="20"/>
        </w:rPr>
        <w:t>trusts</w:t>
      </w:r>
      <w:proofErr w:type="spellEnd"/>
      <w:r>
        <w:rPr>
          <w:rFonts w:ascii="Arial" w:hAnsi="Arial"/>
          <w:color w:val="000000"/>
          <w:sz w:val="20"/>
        </w:rPr>
        <w:t>».</w:t>
      </w:r>
    </w:p>
    <w:p w14:paraId="5D0DAFFC" w14:textId="076CEE6C"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95F3AD1" wp14:editId="617CAFB0">
            <wp:extent cx="127000" cy="127000"/>
            <wp:effectExtent l="0" t="0" r="0" b="0"/>
            <wp:docPr id="85"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Duración de inversión recomendada:  </w:t>
      </w:r>
    </w:p>
    <w:p w14:paraId="71253B8C"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3C6A645E"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duración mínima de inversión recomendada es de 5 años.</w:t>
      </w:r>
    </w:p>
    <w:p w14:paraId="58994363" w14:textId="15A2B8F7"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56030E0" wp14:editId="60FAEEA9">
            <wp:extent cx="127000" cy="127000"/>
            <wp:effectExtent l="0" t="0" r="0" b="0"/>
            <wp:docPr id="8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Modalidad de determinación y asignación de los importes para distribuir:  </w:t>
      </w:r>
    </w:p>
    <w:p w14:paraId="0ABB139F"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45EC6865"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Capitalización y/o distribución según decisión de la Sociedad Gestora</w:t>
      </w:r>
    </w:p>
    <w:p w14:paraId="196DB5EC" w14:textId="28707A73"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063FF01F" wp14:editId="0DD7BCBE">
            <wp:extent cx="127000" cy="127000"/>
            <wp:effectExtent l="0" t="0" r="0" b="0"/>
            <wp:docPr id="87"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Frecuencia de distribución:</w:t>
      </w:r>
    </w:p>
    <w:p w14:paraId="20E8E04D"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20F19AFA"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Si la Sociedad Gestora decide distribuir parte o la totalidad del resultado neto y/o de las plusvalías netas realizadas, podrá efectuar uno o varios pagos al año.</w:t>
      </w:r>
    </w:p>
    <w:p w14:paraId="6FD33AB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contabilidad seguirá el método de los cupones devengados.</w:t>
      </w:r>
    </w:p>
    <w:p w14:paraId="15806CC7" w14:textId="70B72037"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5DEB9AB8" wp14:editId="3D56E3DF">
            <wp:extent cx="127000" cy="127000"/>
            <wp:effectExtent l="0" t="0" r="0" b="0"/>
            <wp:docPr id="88"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Denominación de la moneda de contabilidad:</w:t>
      </w:r>
      <w:r w:rsidR="00857814">
        <w:rPr>
          <w:rFonts w:ascii="Arial" w:hAnsi="Arial"/>
          <w:color w:val="000000"/>
          <w:sz w:val="20"/>
        </w:rPr>
        <w:t xml:space="preserve"> </w:t>
      </w:r>
      <w:r>
        <w:rPr>
          <w:rFonts w:ascii="Arial" w:hAnsi="Arial"/>
          <w:color w:val="000000"/>
          <w:sz w:val="20"/>
        </w:rPr>
        <w:t>euro</w:t>
      </w:r>
    </w:p>
    <w:p w14:paraId="11135B69" w14:textId="682BEF90"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329B6D4C" wp14:editId="1630C616">
            <wp:extent cx="127000" cy="127000"/>
            <wp:effectExtent l="0" t="0" r="0" b="0"/>
            <wp:docPr id="89"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Características de las participaciones:</w:t>
      </w:r>
    </w:p>
    <w:p w14:paraId="4670D31F" w14:textId="3C5BD09F" w:rsidR="00DC3D49" w:rsidRDefault="00C837FF">
      <w:pPr>
        <w:autoSpaceDE w:val="0"/>
        <w:autoSpaceDN w:val="0"/>
        <w:adjustRightInd w:val="0"/>
        <w:spacing w:before="200" w:after="0" w:line="240" w:lineRule="auto"/>
        <w:ind w:left="300"/>
        <w:jc w:val="both"/>
        <w:rPr>
          <w:rFonts w:ascii="Arial" w:hAnsi="Arial" w:cs="Arial"/>
          <w:color w:val="000000"/>
          <w:kern w:val="0"/>
          <w:sz w:val="20"/>
          <w:szCs w:val="20"/>
        </w:rPr>
      </w:pPr>
      <w:r>
        <w:rPr>
          <w:rFonts w:ascii="Arial" w:hAnsi="Arial"/>
          <w:noProof/>
        </w:rPr>
        <w:drawing>
          <wp:inline distT="0" distB="0" distL="0" distR="0" wp14:anchorId="0FBCB808" wp14:editId="7E6411C5">
            <wp:extent cx="127000" cy="127000"/>
            <wp:effectExtent l="0" t="0" r="0" b="0"/>
            <wp:docPr id="9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Divisa de denominación de las participaciones</w:t>
      </w:r>
      <w:r>
        <w:rPr>
          <w:rFonts w:ascii="Arial" w:hAnsi="Arial"/>
          <w:b/>
          <w:color w:val="000000"/>
          <w:sz w:val="20"/>
        </w:rPr>
        <w:t xml:space="preserve">: </w:t>
      </w:r>
      <w:r>
        <w:rPr>
          <w:rFonts w:ascii="Arial" w:hAnsi="Arial"/>
          <w:color w:val="000000"/>
          <w:sz w:val="20"/>
        </w:rPr>
        <w:t>euro</w:t>
      </w:r>
    </w:p>
    <w:p w14:paraId="71601E2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F71D2D4" w14:textId="55AB4ED0" w:rsidR="00DC3D49" w:rsidRDefault="00C837FF">
      <w:pPr>
        <w:autoSpaceDE w:val="0"/>
        <w:autoSpaceDN w:val="0"/>
        <w:adjustRightInd w:val="0"/>
        <w:spacing w:after="0" w:line="240" w:lineRule="auto"/>
        <w:ind w:left="300"/>
        <w:jc w:val="both"/>
        <w:rPr>
          <w:rFonts w:ascii="Arial" w:hAnsi="Arial" w:cs="Arial"/>
          <w:b/>
          <w:bCs/>
          <w:color w:val="000000"/>
          <w:kern w:val="0"/>
          <w:sz w:val="20"/>
          <w:szCs w:val="20"/>
        </w:rPr>
      </w:pPr>
      <w:r>
        <w:rPr>
          <w:rFonts w:ascii="Arial" w:hAnsi="Arial"/>
          <w:noProof/>
          <w:color w:val="000000"/>
          <w:sz w:val="20"/>
        </w:rPr>
        <w:drawing>
          <wp:inline distT="0" distB="0" distL="0" distR="0" wp14:anchorId="55ECBFF4" wp14:editId="305F5E24">
            <wp:extent cx="127000" cy="127000"/>
            <wp:effectExtent l="0" t="0" r="0" b="0"/>
            <wp:docPr id="9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Valor liquidativo de origen</w:t>
      </w:r>
      <w:r>
        <w:rPr>
          <w:rFonts w:ascii="Arial" w:hAnsi="Arial"/>
          <w:b/>
          <w:color w:val="000000"/>
          <w:sz w:val="20"/>
        </w:rPr>
        <w:t>:</w:t>
      </w:r>
    </w:p>
    <w:p w14:paraId="1CB1D0E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CA7149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40,62 euros por participación del Fondo.</w:t>
      </w:r>
    </w:p>
    <w:p w14:paraId="60CEB2CF"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valor liquidativo de origen es igual a la cotización de cierre del 22 de septiembre de 2009 del Índice 100% STOXX 50 (EUROPE) dividido entre 100.</w:t>
      </w:r>
    </w:p>
    <w:p w14:paraId="635E2394" w14:textId="121BFF30"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68CE48E" wp14:editId="1CB97721">
            <wp:extent cx="127000" cy="127000"/>
            <wp:effectExtent l="0" t="0" r="0" b="0"/>
            <wp:docPr id="9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Modalidades de suscripción y de reembolso:</w:t>
      </w:r>
    </w:p>
    <w:p w14:paraId="2D87D469"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4EEC8C59"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Como ya se ha indicado, la actividad del Fondo se organiza alrededor de un mercado llamado «</w:t>
      </w:r>
      <w:r>
        <w:rPr>
          <w:rFonts w:ascii="Arial" w:hAnsi="Arial"/>
          <w:b/>
          <w:color w:val="000000"/>
          <w:sz w:val="20"/>
        </w:rPr>
        <w:t>principal</w:t>
      </w:r>
      <w:r>
        <w:rPr>
          <w:rFonts w:ascii="Arial" w:hAnsi="Arial"/>
          <w:color w:val="000000"/>
          <w:sz w:val="20"/>
        </w:rPr>
        <w:t>» y de un mercado «</w:t>
      </w:r>
      <w:r>
        <w:rPr>
          <w:rFonts w:ascii="Arial" w:hAnsi="Arial"/>
          <w:b/>
          <w:color w:val="000000"/>
          <w:sz w:val="20"/>
        </w:rPr>
        <w:t>secundario</w:t>
      </w:r>
      <w:r>
        <w:rPr>
          <w:rFonts w:ascii="Arial" w:hAnsi="Arial"/>
          <w:color w:val="000000"/>
          <w:sz w:val="20"/>
        </w:rPr>
        <w:t>».</w:t>
      </w:r>
    </w:p>
    <w:p w14:paraId="63D101C1"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Las personas que deseen adquirir o suscribir participaciones tendrán que certificar por escrito, al realizar toda adquisición o suscripción de participaciones, que no son «Personas estadounidenses». Todo partícipe debe informar inmediatamente a la Sociedad Gestora del Fondo en caso de que pase a ser una «Persona estadounidense».</w:t>
      </w:r>
    </w:p>
    <w:p w14:paraId="643D37A1" w14:textId="661B94B7" w:rsidR="00DC3D49" w:rsidRDefault="00C837FF">
      <w:pPr>
        <w:autoSpaceDE w:val="0"/>
        <w:autoSpaceDN w:val="0"/>
        <w:adjustRightInd w:val="0"/>
        <w:spacing w:before="1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16291187" wp14:editId="7652EB58">
            <wp:extent cx="127000" cy="127000"/>
            <wp:effectExtent l="0" t="0" r="0" b="0"/>
            <wp:docPr id="9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 xml:space="preserve">Condiciones de suscripción y de reembolso de las participaciones del Fondo en el mercado primario: </w:t>
      </w:r>
    </w:p>
    <w:p w14:paraId="68994C4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mercado primario es el mercado en el que se suscriben o se reembolsan las nuevas participaciones del Fondo (i) en metálico o (</w:t>
      </w:r>
      <w:proofErr w:type="spellStart"/>
      <w:r>
        <w:rPr>
          <w:rFonts w:ascii="Arial" w:hAnsi="Arial"/>
          <w:color w:val="000000"/>
          <w:sz w:val="20"/>
        </w:rPr>
        <w:t>ii</w:t>
      </w:r>
      <w:proofErr w:type="spellEnd"/>
      <w:r>
        <w:rPr>
          <w:rFonts w:ascii="Arial" w:hAnsi="Arial"/>
          <w:color w:val="000000"/>
          <w:sz w:val="20"/>
        </w:rPr>
        <w:t xml:space="preserve">) mediante aportaciones/retiradas de una cesta de acciones representativa de la composición del Índice 100% STOXX 50 (EUROPE) con una «compensación». </w:t>
      </w:r>
    </w:p>
    <w:p w14:paraId="6D3635B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3B8A312" w14:textId="0B17F1C3"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este mercado, las suscripciones se limitarán a un mínimo de 2500 participaciones para la suscripción inicial mínima y a un mínimo de una participación para las subsiguientes suscripciones mínimas. Los reembolsos se </w:t>
      </w:r>
      <w:r>
        <w:rPr>
          <w:rFonts w:ascii="Arial" w:hAnsi="Arial"/>
          <w:color w:val="000000"/>
          <w:sz w:val="20"/>
        </w:rPr>
        <w:lastRenderedPageBreak/>
        <w:t>realizan en participaciones enteras, con un mínimo de 100 000 EUR o equivalente en la divisa de la participación, por solicitud de reembolso.</w:t>
      </w:r>
    </w:p>
    <w:p w14:paraId="6D54DCD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BA985F0" w14:textId="2ABAC0D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Depositario centraliza las solicitudes de suscripciones y reembolsos de participaciones del Fondo, entre las 9:00 y las 18:00 h(hora de París), cada día bursátil en París (el «</w:t>
      </w:r>
      <w:r>
        <w:rPr>
          <w:rFonts w:ascii="Arial" w:hAnsi="Arial"/>
          <w:b/>
          <w:color w:val="000000"/>
          <w:sz w:val="20"/>
        </w:rPr>
        <w:t>Día bursátil</w:t>
      </w:r>
      <w:r>
        <w:rPr>
          <w:rFonts w:ascii="Arial" w:hAnsi="Arial"/>
          <w:color w:val="000000"/>
          <w:sz w:val="20"/>
        </w:rPr>
        <w:t>»). Las solicitudes de suscripciones y reembolsos transmitidas después de las 18:00 h (hora de París) un Día bursátil se tratarán como solicitudes recibidas entre las 9:00 y las 18:00 h (hora de París) el Día bursátil siguiente.</w:t>
      </w:r>
    </w:p>
    <w:p w14:paraId="6184340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7CC194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Un Día bursátil es un día laborable del calendario de cálculo y de publicación del valor liquidativo del Fondo.</w:t>
      </w:r>
    </w:p>
    <w:p w14:paraId="5BF19500" w14:textId="745E1858" w:rsidR="00DC3D49" w:rsidRDefault="00DC3D49">
      <w:pPr>
        <w:autoSpaceDE w:val="0"/>
        <w:autoSpaceDN w:val="0"/>
        <w:adjustRightInd w:val="0"/>
        <w:spacing w:after="0" w:line="240" w:lineRule="auto"/>
        <w:jc w:val="both"/>
        <w:rPr>
          <w:rFonts w:ascii="Arial" w:hAnsi="Arial" w:cs="Arial"/>
          <w:color w:val="000000"/>
          <w:kern w:val="0"/>
          <w:sz w:val="20"/>
          <w:szCs w:val="20"/>
        </w:rPr>
      </w:pPr>
    </w:p>
    <w:p w14:paraId="5DEDF84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valor liquidativo del Fondo de un día bursátil se calcula con la cotización de cierre del Índice 100% STOXX 50 (EUROPE) de ese mismo día.</w:t>
      </w:r>
    </w:p>
    <w:p w14:paraId="0D5B202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BEE2A66" w14:textId="77777777" w:rsidR="00DC3D49" w:rsidRDefault="00DC3D49">
      <w:pPr>
        <w:autoSpaceDE w:val="0"/>
        <w:autoSpaceDN w:val="0"/>
        <w:adjustRightInd w:val="0"/>
        <w:spacing w:after="0" w:line="240" w:lineRule="auto"/>
        <w:jc w:val="both"/>
        <w:rPr>
          <w:rFonts w:ascii="Arial" w:hAnsi="Arial" w:cs="Arial"/>
          <w:color w:val="000000"/>
          <w:kern w:val="0"/>
          <w:sz w:val="20"/>
          <w:szCs w:val="20"/>
          <w:u w:val="single"/>
        </w:rPr>
      </w:pPr>
      <w:r>
        <w:rPr>
          <w:rFonts w:ascii="Arial" w:hAnsi="Arial"/>
          <w:color w:val="000000"/>
          <w:sz w:val="20"/>
          <w:u w:val="single"/>
        </w:rPr>
        <w:t>Suscripciones/reembolsos realizados exclusivamente en metálico.</w:t>
      </w:r>
    </w:p>
    <w:p w14:paraId="7ADD72E7" w14:textId="5984AF2D"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solicitudes, centralizadas por el Depositario entre las 09:00 y las 18:00 h (hora de París) un Día bursátil y realizadas exclusivamente en metálico, se ejecutarán sobre la base del valor liquidativo de ese mismo Día bursátil.</w:t>
      </w:r>
    </w:p>
    <w:p w14:paraId="0E75EF0C" w14:textId="14249399"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D6065A4" w14:textId="77777777" w:rsidR="00DC3D49" w:rsidRDefault="00DC3D49">
      <w:pPr>
        <w:autoSpaceDE w:val="0"/>
        <w:autoSpaceDN w:val="0"/>
        <w:adjustRightInd w:val="0"/>
        <w:spacing w:after="0" w:line="240" w:lineRule="auto"/>
        <w:jc w:val="both"/>
        <w:rPr>
          <w:rFonts w:ascii="Arial" w:hAnsi="Arial" w:cs="Arial"/>
          <w:color w:val="000000"/>
          <w:kern w:val="0"/>
          <w:sz w:val="20"/>
          <w:szCs w:val="20"/>
          <w:u w:val="single"/>
        </w:rPr>
      </w:pPr>
      <w:r>
        <w:rPr>
          <w:rFonts w:ascii="Arial" w:hAnsi="Arial"/>
          <w:color w:val="000000"/>
          <w:sz w:val="20"/>
          <w:u w:val="single"/>
        </w:rPr>
        <w:t>Suscripciones/reembolsos realizados por aportaciones/retiradas de una cesta de acciones representativa de la composición del Índice 100% STOXX 50 (EUROPE).</w:t>
      </w:r>
    </w:p>
    <w:p w14:paraId="56282CF4" w14:textId="2C0B209E"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solicitudes centralizadas por el Depositario entre las 09:00 y las 18:00 h (hora de París) un Día bursátil se ejecutarán según las condiciones determinadas por la Sociedad Gestora a las 18:00 h (hora de París) ese mismo Día bursátil de la siguiente manera:</w:t>
      </w:r>
    </w:p>
    <w:p w14:paraId="5E51677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(1) por aportación de una cesta de acciones que refleja el Índice 100% STOXX 50 (EUROPE) según lo determine la Sociedad de gestión, que el suscriptor debe entregar y, si procede,</w:t>
      </w:r>
    </w:p>
    <w:p w14:paraId="73FAACAC" w14:textId="09F5B80F"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(2) por aportación de un importe en efectivo en euros pagado o recibido por el Fondo (la «compensación») por una orden de suscripción/reembolso de un mínimo de 2500 participaciones para la suscripción inicial mínima y de un mínimo de una participación para las subsiguientes suscripciones mínimas. Los reembolsos se realizan en participaciones enteras, con un mínimo de 100 000 EUR o equivalente en la divisa de la participación, por solicitud de reembolso. La compensación será igual a la diferencia en euros entre el valor liquidativo de las participaciones del Fondo ese día y el valor en euros de las acciones que se entregarán ese día.</w:t>
      </w:r>
    </w:p>
    <w:p w14:paraId="72BF3306" w14:textId="77777777" w:rsidR="00DC3D49" w:rsidRDefault="00DC3D49">
      <w:pPr>
        <w:autoSpaceDE w:val="0"/>
        <w:autoSpaceDN w:val="0"/>
        <w:adjustRightInd w:val="0"/>
        <w:spacing w:before="200" w:after="200" w:line="240" w:lineRule="auto"/>
        <w:jc w:val="both"/>
        <w:rPr>
          <w:rFonts w:ascii="Arial" w:hAnsi="Arial" w:cs="Arial"/>
          <w:color w:val="000000"/>
          <w:kern w:val="0"/>
          <w:sz w:val="20"/>
          <w:szCs w:val="20"/>
        </w:rPr>
      </w:pPr>
      <w:r>
        <w:rPr>
          <w:rFonts w:ascii="Arial" w:hAnsi="Arial"/>
          <w:color w:val="000000"/>
          <w:sz w:val="20"/>
        </w:rPr>
        <w:t>Las órdenes se ejecutan de acuerdo con la siguiente tabla:</w:t>
      </w:r>
    </w:p>
    <w:tbl>
      <w:tblPr>
        <w:tblW w:w="0" w:type="auto"/>
        <w:tblInd w:w="40" w:type="dxa"/>
        <w:tblLayout w:type="fixed"/>
        <w:tblCellMar>
          <w:left w:w="100" w:type="dxa"/>
          <w:right w:w="100" w:type="dxa"/>
        </w:tblCellMar>
        <w:tblLook w:val="0000" w:firstRow="0" w:lastRow="0" w:firstColumn="0" w:lastColumn="0" w:noHBand="0" w:noVBand="0"/>
      </w:tblPr>
      <w:tblGrid>
        <w:gridCol w:w="1480"/>
        <w:gridCol w:w="1480"/>
        <w:gridCol w:w="1480"/>
        <w:gridCol w:w="1480"/>
        <w:gridCol w:w="1480"/>
        <w:gridCol w:w="1480"/>
      </w:tblGrid>
      <w:tr w:rsidR="00DC3D49" w14:paraId="1F2743F0" w14:textId="77777777">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1525BB"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D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255424F"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D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BDDC68F"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 Día de determinación del VL</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175171"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D+1 día laborable</w:t>
            </w:r>
          </w:p>
          <w:p w14:paraId="479C0855"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47F88C21"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24B35E"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D+2 días laborables</w:t>
            </w:r>
          </w:p>
          <w:p w14:paraId="0C01EDC6"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410B897D"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2A661F7"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D+2 días laborables</w:t>
            </w:r>
          </w:p>
          <w:p w14:paraId="74092D99"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DC3D49" w14:paraId="1BA4FC63" w14:textId="77777777">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6623AE" w14:textId="32A2C575"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Centralización antes de las 18:00 h</w:t>
            </w:r>
          </w:p>
          <w:p w14:paraId="2973ADB8"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órdenes de suscripción</w:t>
            </w:r>
          </w:p>
          <w:p w14:paraId="55DC27B6" w14:textId="77777777" w:rsidR="00DC3D49" w:rsidRDefault="00DC3D49">
            <w:pPr>
              <w:autoSpaceDE w:val="0"/>
              <w:autoSpaceDN w:val="0"/>
              <w:adjustRightInd w:val="0"/>
              <w:spacing w:after="0" w:line="240" w:lineRule="auto"/>
              <w:jc w:val="center"/>
              <w:rPr>
                <w:rFonts w:ascii="Arial" w:hAnsi="Arial" w:cs="Arial"/>
                <w:color w:val="000000"/>
                <w:kern w:val="0"/>
                <w:sz w:val="8"/>
                <w:szCs w:val="8"/>
              </w:rPr>
            </w:pPr>
            <w:r>
              <w:rPr>
                <w:rFonts w:ascii="Arial" w:hAnsi="Arial"/>
                <w:color w:val="000000"/>
                <w:sz w:val="8"/>
              </w:rPr>
              <w:t>1</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9EC4FF9" w14:textId="297DE136"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Centralización antes de las 18:00 h</w:t>
            </w:r>
          </w:p>
          <w:p w14:paraId="79C50202" w14:textId="77777777" w:rsidR="00DC3D49" w:rsidRDefault="00DC3D49">
            <w:pPr>
              <w:autoSpaceDE w:val="0"/>
              <w:autoSpaceDN w:val="0"/>
              <w:adjustRightInd w:val="0"/>
              <w:spacing w:after="0" w:line="240" w:lineRule="auto"/>
              <w:jc w:val="center"/>
              <w:rPr>
                <w:rFonts w:ascii="Arial" w:hAnsi="Arial" w:cs="Arial"/>
                <w:color w:val="000000"/>
                <w:kern w:val="0"/>
                <w:sz w:val="8"/>
                <w:szCs w:val="8"/>
              </w:rPr>
            </w:pPr>
            <w:r>
              <w:rPr>
                <w:rFonts w:ascii="Arial" w:hAnsi="Arial"/>
                <w:color w:val="000000"/>
                <w:sz w:val="14"/>
              </w:rPr>
              <w:t>órdenes de reembolso</w:t>
            </w:r>
            <w:r>
              <w:rPr>
                <w:rFonts w:ascii="Arial" w:hAnsi="Arial"/>
                <w:color w:val="000000"/>
                <w:sz w:val="8"/>
              </w:rPr>
              <w:t>1</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5EAFEFD"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Ejecución de la orden, como máximo, el D</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344F7EA"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Publicación del valor liquidativo</w:t>
            </w:r>
          </w:p>
          <w:p w14:paraId="37E7BB3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00582A5"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Liquidación de suscripciones</w:t>
            </w:r>
          </w:p>
          <w:p w14:paraId="7E71DC17"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71154AA0"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4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DCC818"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Liquidación de reembolsos</w:t>
            </w:r>
          </w:p>
          <w:p w14:paraId="28F5372F"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p w14:paraId="6252C038"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bl>
    <w:p w14:paraId="237325D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11"/>
        </w:rPr>
        <w:t>1</w:t>
      </w:r>
      <w:r>
        <w:rPr>
          <w:rFonts w:ascii="Arial" w:hAnsi="Arial"/>
          <w:color w:val="000000"/>
          <w:sz w:val="20"/>
        </w:rPr>
        <w:t> A menos que exista un plazo específico acordado con su entidad financiera.</w:t>
      </w:r>
    </w:p>
    <w:p w14:paraId="137FE56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Para todas las suscripciones y reembolsos efectuados por aportaciones/retiradas de valores mobiliarios, la Sociedad Gestora se reserva el derecho de rechazar los valores propuestos/solicitados y dispone de un plazo de 7 días a partir del depósito/solicitud para dar a conocer su decisión.</w:t>
      </w:r>
    </w:p>
    <w:p w14:paraId="2C9065A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 liquidación/entrega de las suscripciones/reembolsos se efectuará como máximo 5 días bursátiles después de la fecha de cálculo y publicación del valor liquidativo.</w:t>
      </w:r>
    </w:p>
    <w:p w14:paraId="3A988B3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92184C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Las solicitudes de suscripciones y de reembolsos se efectuarán en números enteros de participaciones. </w:t>
      </w:r>
    </w:p>
    <w:p w14:paraId="65EF0720" w14:textId="4741AF58"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409217EC" wp14:editId="15570AB0">
            <wp:extent cx="127000" cy="127000"/>
            <wp:effectExtent l="0" t="0" r="0" b="0"/>
            <wp:docPr id="94"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 xml:space="preserve">Entidades designadas para recibir suscripciones y reembolsos: </w:t>
      </w:r>
    </w:p>
    <w:p w14:paraId="1DF1521C"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4DE7BCD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CACEIS Bank </w:t>
      </w:r>
    </w:p>
    <w:p w14:paraId="4E442E3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Domicilio social: 89-91 rue Gabriel </w:t>
      </w:r>
      <w:proofErr w:type="spellStart"/>
      <w:r>
        <w:rPr>
          <w:rFonts w:ascii="Arial" w:hAnsi="Arial"/>
          <w:color w:val="000000"/>
          <w:sz w:val="20"/>
        </w:rPr>
        <w:t>Péri</w:t>
      </w:r>
      <w:proofErr w:type="spellEnd"/>
      <w:r>
        <w:rPr>
          <w:rFonts w:ascii="Arial" w:hAnsi="Arial"/>
          <w:color w:val="000000"/>
          <w:sz w:val="20"/>
        </w:rPr>
        <w:t xml:space="preserve">, 92120 </w:t>
      </w:r>
      <w:proofErr w:type="spellStart"/>
      <w:r>
        <w:rPr>
          <w:rFonts w:ascii="Arial" w:hAnsi="Arial"/>
          <w:color w:val="000000"/>
          <w:sz w:val="20"/>
        </w:rPr>
        <w:t>Montrouge</w:t>
      </w:r>
      <w:proofErr w:type="spellEnd"/>
      <w:r>
        <w:rPr>
          <w:rFonts w:ascii="Arial" w:hAnsi="Arial"/>
          <w:color w:val="000000"/>
          <w:sz w:val="20"/>
        </w:rPr>
        <w:t xml:space="preserve"> </w:t>
      </w:r>
    </w:p>
    <w:p w14:paraId="28ADD0F8" w14:textId="77777777" w:rsidR="00DC3D49" w:rsidRDefault="00DC3D49">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 xml:space="preserve">Se advierte a los partícipes de que, en relación con las órdenes transmitidas a las entidades comercializadoras que no sean las mencionadas anteriormente, la hora límite de centralización de las órdenes se aplica a dichas entidades comercializadoras frente a CACEIS Bank. </w:t>
      </w:r>
    </w:p>
    <w:p w14:paraId="2F367D88" w14:textId="77777777" w:rsidR="00DC3D49" w:rsidRDefault="00DC3D49">
      <w:pPr>
        <w:autoSpaceDE w:val="0"/>
        <w:autoSpaceDN w:val="0"/>
        <w:adjustRightInd w:val="0"/>
        <w:spacing w:after="0" w:line="240" w:lineRule="auto"/>
        <w:jc w:val="both"/>
        <w:rPr>
          <w:rFonts w:ascii="Arial" w:hAnsi="Arial"/>
          <w:i/>
          <w:color w:val="000000"/>
          <w:sz w:val="20"/>
        </w:rPr>
      </w:pPr>
      <w:r>
        <w:rPr>
          <w:rFonts w:ascii="Arial" w:hAnsi="Arial"/>
          <w:i/>
          <w:color w:val="000000"/>
          <w:sz w:val="20"/>
        </w:rPr>
        <w:t>Por lo tanto, estas entidades comercializadoras pueden aplicar su propia hora límite, anterior a las mencionadas más arriba, con la finalidad de tener en cuenta su plazo de transmisión de las órdenes a CACEIS Bank.</w:t>
      </w:r>
    </w:p>
    <w:p w14:paraId="454C944F" w14:textId="77777777" w:rsidR="00857814" w:rsidRDefault="00857814">
      <w:pPr>
        <w:autoSpaceDE w:val="0"/>
        <w:autoSpaceDN w:val="0"/>
        <w:adjustRightInd w:val="0"/>
        <w:spacing w:after="0" w:line="240" w:lineRule="auto"/>
        <w:jc w:val="both"/>
        <w:rPr>
          <w:rFonts w:ascii="Arial" w:hAnsi="Arial"/>
          <w:i/>
          <w:color w:val="000000"/>
          <w:sz w:val="20"/>
        </w:rPr>
      </w:pPr>
    </w:p>
    <w:p w14:paraId="79F9F6AF" w14:textId="77777777" w:rsidR="00857814" w:rsidRDefault="00857814">
      <w:pPr>
        <w:autoSpaceDE w:val="0"/>
        <w:autoSpaceDN w:val="0"/>
        <w:adjustRightInd w:val="0"/>
        <w:spacing w:after="0" w:line="240" w:lineRule="auto"/>
        <w:jc w:val="both"/>
        <w:rPr>
          <w:rFonts w:ascii="Arial" w:hAnsi="Arial" w:cs="Arial"/>
          <w:i/>
          <w:iCs/>
          <w:color w:val="000000"/>
          <w:kern w:val="0"/>
          <w:sz w:val="20"/>
          <w:szCs w:val="20"/>
        </w:rPr>
      </w:pPr>
    </w:p>
    <w:p w14:paraId="587A902A" w14:textId="072963BB"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lastRenderedPageBreak/>
        <w:drawing>
          <wp:inline distT="0" distB="0" distL="0" distR="0" wp14:anchorId="3FAC9532" wp14:editId="17ED56D8">
            <wp:extent cx="127000" cy="127000"/>
            <wp:effectExtent l="0" t="0" r="0" b="0"/>
            <wp:docPr id="9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Admisión y negociación de las participaciones del Fondo en el mercado secundario:</w:t>
      </w:r>
    </w:p>
    <w:p w14:paraId="70F97937"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2DAC2AA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mercado secundario es el mercado en el que se intercambian las participaciones de Fondos ya creadas. Reagrupa el conjunto de mercados de cotización (empresas de mercado) en los que se ha admitido el Fondo o en los que será admitido a cotización continuada.</w:t>
      </w:r>
    </w:p>
    <w:p w14:paraId="40ECB29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38B281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compras y ventas en el mercado secundario no son objeto de ninguna comisión de suscripción o reembolso. Las órdenes de compra y venta de participaciones pueden llevarse a cabo en el mercado en el que se haya admitido el Fondo (o en el que será admitido) a la cotización ante un intermediario autorizado. La colocación de una orden de bolsa genera costes sobre los que la Sociedad Gestora no tiene influencia alguna.</w:t>
      </w:r>
    </w:p>
    <w:p w14:paraId="1C8EA64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78E693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existe un tamaño mínimo de compra/venta sobre las órdenes colocadas en el mercado secundario excepto aquel impuesto eventualmente por el mercado de cotización de las participaciones del Fondo.</w:t>
      </w:r>
    </w:p>
    <w:p w14:paraId="1D66E78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FCDE923" w14:textId="4004CA65" w:rsidR="00DC3D49" w:rsidRDefault="00DC3D49">
      <w:pPr>
        <w:autoSpaceDE w:val="0"/>
        <w:autoSpaceDN w:val="0"/>
        <w:adjustRightInd w:val="0"/>
        <w:spacing w:after="0" w:line="240" w:lineRule="auto"/>
        <w:jc w:val="both"/>
        <w:rPr>
          <w:rFonts w:ascii="Arial" w:hAnsi="Arial" w:cs="Arial"/>
          <w:color w:val="000000"/>
          <w:kern w:val="0"/>
          <w:sz w:val="20"/>
          <w:szCs w:val="20"/>
        </w:rPr>
      </w:pPr>
      <w:bookmarkStart w:id="0" w:name="_Hlk184981189"/>
      <w:r>
        <w:rPr>
          <w:rFonts w:ascii="Arial" w:hAnsi="Arial"/>
          <w:color w:val="000000"/>
          <w:sz w:val="20"/>
        </w:rPr>
        <w:t xml:space="preserve">El precio de una participación negociada en el mercado secundario es en función de la oferta y la demanda y se corresponde aproximadamente con el Precio de referencia (véase la sección «Precio de referencia»). </w:t>
      </w:r>
    </w:p>
    <w:bookmarkEnd w:id="0"/>
    <w:p w14:paraId="6975A02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08EF4F4" w14:textId="2C1EBBA9"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(véase la sección «Entidades financieras creadoras de mercado») estimulan el mercado secundario garantizando la contrapartida del mercado. Se comprometen contractualmente con las empresas de mercado afectadas para garantizar una desviación máxima entre la mejor oferta y la mejor demanda. Su intervención permite garantizar la liquidez de las participaciones del Fondo. Además, a través de sus arbitrajes entre el mercado primario y el secundario, los «Creadores de mercado» se aseguran de que la cotización en bolsa del Fondo no se desvía significativamente de su Precio de referencia.</w:t>
      </w:r>
    </w:p>
    <w:p w14:paraId="6758123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8C00FE4" w14:textId="321215A4"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Si la cotización del Índice 100% STOXX 50 (EUROPE) se interrumpe o suspende, la cotización del Fondo también se suspende. A partir de la reanudación de la cotización del Índice 100% STOXX 50 (EUROPE) de referencia se reanuda también la cotización del Fondo y se tiene en cuenta la posible evolución del valor liquidativo del Fondo y el Precio de referencia desde la interrupción.</w:t>
      </w:r>
    </w:p>
    <w:p w14:paraId="3B2E68F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E7E462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lo general, las participaciones adquiridas en el mercado secundario no pueden volver a venderse directamente en el mercado primario. Los partícipes deben comprar y vender participaciones en un mercado secundario con la asistencia de un intermediario (por ejemplo, un agente), y pueden soportar los correspondientes gastos. Además, los partícipes pueden pagar más que el valor liquidativo actual cuando compren participaciones y pueden percibir menos que el valor liquidativo actual cuando las vendan.</w:t>
      </w:r>
    </w:p>
    <w:p w14:paraId="4D55AE9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B16C24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participaciones del Fondo serán admitidas a negociación en el Euronext Paris.</w:t>
      </w:r>
    </w:p>
    <w:p w14:paraId="6327C9D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877828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tiene la posibilidad de solicitar la cotización de estas participaciones en otros mercados de cotización.</w:t>
      </w:r>
    </w:p>
    <w:p w14:paraId="6BD7D9D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2CE35E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En el Euronext Paris la negociación de las participaciones del Fondo se hará sobre un segmento de productos dedicado a los ETF (Exchange </w:t>
      </w:r>
      <w:proofErr w:type="spellStart"/>
      <w:r>
        <w:rPr>
          <w:rFonts w:ascii="Arial" w:hAnsi="Arial"/>
          <w:color w:val="000000"/>
          <w:sz w:val="20"/>
        </w:rPr>
        <w:t>Traded</w:t>
      </w:r>
      <w:proofErr w:type="spellEnd"/>
      <w:r>
        <w:rPr>
          <w:rFonts w:ascii="Arial" w:hAnsi="Arial"/>
          <w:color w:val="000000"/>
          <w:sz w:val="20"/>
        </w:rPr>
        <w:t xml:space="preserve"> </w:t>
      </w:r>
      <w:proofErr w:type="spellStart"/>
      <w:r>
        <w:rPr>
          <w:rFonts w:ascii="Arial" w:hAnsi="Arial"/>
          <w:color w:val="000000"/>
          <w:sz w:val="20"/>
        </w:rPr>
        <w:t>Funds</w:t>
      </w:r>
      <w:proofErr w:type="spellEnd"/>
      <w:r>
        <w:rPr>
          <w:rFonts w:ascii="Arial" w:hAnsi="Arial"/>
          <w:color w:val="000000"/>
          <w:sz w:val="20"/>
        </w:rPr>
        <w:t xml:space="preserve">): </w:t>
      </w:r>
      <w:proofErr w:type="spellStart"/>
      <w:r>
        <w:rPr>
          <w:rFonts w:ascii="Arial" w:hAnsi="Arial"/>
          <w:color w:val="000000"/>
          <w:sz w:val="20"/>
        </w:rPr>
        <w:t>NextTrack</w:t>
      </w:r>
      <w:proofErr w:type="spellEnd"/>
      <w:r>
        <w:rPr>
          <w:rFonts w:ascii="Arial" w:hAnsi="Arial"/>
          <w:color w:val="000000"/>
          <w:sz w:val="20"/>
        </w:rPr>
        <w:t>.</w:t>
      </w:r>
    </w:p>
    <w:p w14:paraId="4BF5A193" w14:textId="59AD5B97"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5AE47E8C" wp14:editId="63DABDB9">
            <wp:extent cx="127000" cy="127000"/>
            <wp:effectExtent l="0" t="0" r="0" b="0"/>
            <wp:docPr id="9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Entidades financieras «Creadoras de mercado»:</w:t>
      </w:r>
    </w:p>
    <w:p w14:paraId="3ED7A295"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 11 de diciembre de 2012, la entidad financiera «Creadora de mercado» es la siguiente:</w:t>
      </w:r>
    </w:p>
    <w:p w14:paraId="718513E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5EDAB4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p>
    <w:p w14:paraId="39D0D38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Sociedad regular colectiva</w:t>
      </w:r>
    </w:p>
    <w:p w14:paraId="1B50C5B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Domicilio social: 160-162, Boulevard Mac Donald – 75019, París</w:t>
      </w:r>
    </w:p>
    <w:p w14:paraId="04BE53E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4A67F65"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se comprometen a garantizar la creación de mercado de las participaciones del Fondo desde su admisión en la cotización en el mercado de cotización en el que el Fondo se ha admitido a cotización. Los «Creadores de mercado» se comprometen particularmente a ejecutar las operaciones de estimulación de mercado («</w:t>
      </w:r>
      <w:proofErr w:type="spellStart"/>
      <w:r>
        <w:rPr>
          <w:rFonts w:ascii="Arial" w:hAnsi="Arial"/>
          <w:color w:val="000000"/>
          <w:sz w:val="20"/>
        </w:rPr>
        <w:t>market</w:t>
      </w:r>
      <w:proofErr w:type="spellEnd"/>
      <w:r>
        <w:rPr>
          <w:rFonts w:ascii="Arial" w:hAnsi="Arial"/>
          <w:color w:val="000000"/>
          <w:sz w:val="20"/>
        </w:rPr>
        <w:t xml:space="preserve"> </w:t>
      </w:r>
      <w:proofErr w:type="spellStart"/>
      <w:r>
        <w:rPr>
          <w:rFonts w:ascii="Arial" w:hAnsi="Arial"/>
          <w:color w:val="000000"/>
          <w:sz w:val="20"/>
        </w:rPr>
        <w:t>making</w:t>
      </w:r>
      <w:proofErr w:type="spellEnd"/>
      <w:r>
        <w:rPr>
          <w:rFonts w:ascii="Arial" w:hAnsi="Arial"/>
          <w:color w:val="000000"/>
          <w:sz w:val="20"/>
        </w:rPr>
        <w:t>») mediante una presencia permanente en el mercado, que se traduce en la disponibilidad de gama de precios comprador/vendedor y en una liquidez suficiente.</w:t>
      </w:r>
    </w:p>
    <w:p w14:paraId="5272066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B6D816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concreto, las entidades financieras «Creadoras de mercado» que hayan firmado un contrato de creación de mercado concerniente al Fondo se comprometen ante Euronext Paris S.A. a respetar las siguientes condiciones para el Fondo:</w:t>
      </w:r>
    </w:p>
    <w:p w14:paraId="330A2549" w14:textId="7DF7224F"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0AD7A378" wp14:editId="149A4935">
            <wp:extent cx="127000" cy="127000"/>
            <wp:effectExtent l="0" t="0" r="0" b="0"/>
            <wp:docPr id="9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un diferencial máximo global del 2 % entre el precio de venta y el precio de compra en el libro de órdenes centralizado</w:t>
      </w:r>
    </w:p>
    <w:p w14:paraId="2745257B" w14:textId="49565254"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0DA6E792" wp14:editId="5B8646C8">
            <wp:extent cx="127000" cy="127000"/>
            <wp:effectExtent l="0" t="0" r="0" b="0"/>
            <wp:docPr id="9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un importe mínimo del nominal en la compraventa correspondiente a 100 000 euros. </w:t>
      </w:r>
    </w:p>
    <w:p w14:paraId="22BBAFD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 </w:t>
      </w:r>
    </w:p>
    <w:p w14:paraId="15564C0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obligaciones de los «Creadores de mercado» se suspenderán a partir del momento en el que el valor del Índice 100% STOXX 50 (EUROPE) no esté disponible o si se suspende uno de los valores que lo componen. De manera general, los bonos de los «Creadores de mercado» se suspenderán en caso de anomalía o dificultad en el mercado bursátil afectado que imposibilite la gestión normal de la creación de mercado (por ejemplo, perturbaciones en la cotización, etc.).</w:t>
      </w:r>
    </w:p>
    <w:p w14:paraId="2AAFC93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4C62110" w14:textId="59749D9B"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«Creadores de mercado» también deben asegurarse de que la cotización en bolsa de la participación del Fondo no se desvía más del 1,5 % de una parte y otra del Precio de referencia (véase la sección «Precio de referencia»).</w:t>
      </w:r>
    </w:p>
    <w:p w14:paraId="2FEF287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4F1672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puede solicitar la interrupción de la cotización de las participaciones del Fondo a los «Creadores de mercado» cuando lo exijan circunstancias excepcionales y cuando el interés de los partícipes lo requiera.</w:t>
      </w:r>
    </w:p>
    <w:p w14:paraId="3C0E3268" w14:textId="77777777" w:rsidR="00DC3D49" w:rsidRDefault="00DC3D49">
      <w:pPr>
        <w:autoSpaceDE w:val="0"/>
        <w:autoSpaceDN w:val="0"/>
        <w:adjustRightInd w:val="0"/>
        <w:spacing w:before="200" w:after="0" w:line="240" w:lineRule="auto"/>
        <w:jc w:val="center"/>
        <w:rPr>
          <w:rFonts w:ascii="Arial" w:hAnsi="Arial" w:cs="Arial"/>
          <w:b/>
          <w:bCs/>
          <w:color w:val="000000"/>
          <w:kern w:val="0"/>
          <w:sz w:val="20"/>
          <w:szCs w:val="20"/>
        </w:rPr>
      </w:pPr>
      <w:r>
        <w:rPr>
          <w:rFonts w:ascii="Arial" w:hAnsi="Arial"/>
          <w:b/>
          <w:color w:val="000000"/>
          <w:sz w:val="20"/>
        </w:rPr>
        <w:t>CONDICIONES DE COMPRA Y VENTA EN EL MERCADO SECUNDARIO</w:t>
      </w:r>
    </w:p>
    <w:p w14:paraId="07B09C52" w14:textId="69CF1700"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En caso de que el valor en bolsa de las participaciones o acciones del Fondo cotizado difieran de forma significativa de su Precio de referencia, o de que se suspenda la cotización de las participaciones o acciones del Fondo, los inversores podrán estar autorizados, en las condiciones descritas a continuación, a proceder al reembolso de sus participaciones en el mercado primario directamente al Fondo cotizado sin que se les aplique las condiciones de volumen mínimo que se describen en el apartado «Comisiones de suscripción y de reembolso (aplicables únicamente a los participantes del mercado primario)».</w:t>
      </w:r>
    </w:p>
    <w:p w14:paraId="1D69B5C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B6F71C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decidirá la oportunidad de proceder a este tipo de salida del mercado primario y la duración de la misma, de conformidad con los criterios que se indican a continuación, cuyo análisis permitirá determinar la veracidad de la perturbación del mercado:</w:t>
      </w:r>
    </w:p>
    <w:p w14:paraId="7D6CBB0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F4EFBCA" w14:textId="69A45E98"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570E8FA0" wp14:editId="5CA60F43">
            <wp:extent cx="127000" cy="127000"/>
            <wp:effectExtent l="0" t="0" r="0" b="0"/>
            <wp:docPr id="99"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 verificación del carácter no ocasional de la suspensión o de la fuerte perturbación del mercado secundario en uno de los posibles lugares de cotización;</w:t>
      </w:r>
    </w:p>
    <w:p w14:paraId="241E59E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B6C1E34" w14:textId="76A951A9" w:rsidR="00DC3D49" w:rsidRDefault="00C837FF">
      <w:pPr>
        <w:autoSpaceDE w:val="0"/>
        <w:autoSpaceDN w:val="0"/>
        <w:adjustRightInd w:val="0"/>
        <w:spacing w:after="0" w:line="240" w:lineRule="auto"/>
        <w:ind w:left="300"/>
        <w:jc w:val="both"/>
        <w:rPr>
          <w:rFonts w:ascii="Arial" w:hAnsi="Arial" w:cs="Arial"/>
          <w:color w:val="000000"/>
          <w:kern w:val="0"/>
          <w:sz w:val="20"/>
          <w:szCs w:val="20"/>
        </w:rPr>
      </w:pPr>
      <w:r>
        <w:rPr>
          <w:rFonts w:ascii="Arial" w:hAnsi="Arial"/>
          <w:noProof/>
          <w:color w:val="000000"/>
          <w:sz w:val="20"/>
        </w:rPr>
        <w:drawing>
          <wp:inline distT="0" distB="0" distL="0" distR="0" wp14:anchorId="64A8C0D1" wp14:editId="1F82C416">
            <wp:extent cx="127000" cy="127000"/>
            <wp:effectExtent l="0" t="0" r="0" b="0"/>
            <wp:docPr id="10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 relación entre la perturbación de mercado y los operadores participantes en el mercado secundario (como, por ejemplo, el fallo de la totalidad o parte de los Creadores de mercado que operan en un mercado determinado o una avería que afecte a los sistemas operativos o informáticos del lugar de cotización determinado), excluyendo, en cambio, las eventuales perturbaciones que se deban a una causa ajena al mercado secundario de participaciones o acciones del Fondo, especialmente un suceso que afecte a la liquidez y la valoración de la totalidad o parte de los componentes del Indicador de Referencia;</w:t>
      </w:r>
    </w:p>
    <w:p w14:paraId="3DCF939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F5D2A58" w14:textId="04584901"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38FA0E02" wp14:editId="1D2089EF">
            <wp:extent cx="127000" cy="127000"/>
            <wp:effectExtent l="0" t="0" r="0" b="0"/>
            <wp:docPr id="10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El análisis de cualquier otra circunstancia objetiva que pueda incidir en el tratamiento equitativo y/o el interés de los partícipes del Fondo.</w:t>
      </w:r>
    </w:p>
    <w:p w14:paraId="142E57C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0EB012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Mediante derogación de lo dispuesto acerca de los gastos indicados en el apartado «Comisiones de suscripción y de reembolso (aplicables únicamente a los participantes del mercado primario)», las operaciones de reembolso de participaciones efectuadas en este caso en el mercado primario solamente estarán sujetas a una comisión de reembolso de un 1 % como máximo adquirido del Fondo, con el fin de cubrir los costes relacionados con la transacción soportados por el Fondo.</w:t>
      </w:r>
    </w:p>
    <w:p w14:paraId="629913E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9D8F1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En dichos casos excepcionales de salida del mercado primario, la Sociedad Gestora podrá a disposición en el sitio web amundietf.com el procedimiento a seguir por los inversores que deseen obtener el reembolso de sus participaciones en el mercado primario. La Sociedad Gestora transmitirá además el mencionado procedimiento a la empresa del mercado que garantiza la cotización de las participaciones del Fondo.</w:t>
      </w:r>
    </w:p>
    <w:p w14:paraId="288716BC" w14:textId="2561AD7F"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6BF834C5" wp14:editId="1CA5F2D6">
            <wp:extent cx="127000" cy="127000"/>
            <wp:effectExtent l="0" t="0" r="0" b="0"/>
            <wp:docPr id="10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Fecha y periodicidad de cálculo del valor liquidativo: </w:t>
      </w:r>
    </w:p>
    <w:p w14:paraId="0573B82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Diariamente</w:t>
      </w:r>
    </w:p>
    <w:p w14:paraId="436D5A15" w14:textId="58473932"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2C0D65CD" wp14:editId="3D6EA1F0">
            <wp:extent cx="127000" cy="127000"/>
            <wp:effectExtent l="0" t="0" r="0" b="0"/>
            <wp:docPr id="1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 xml:space="preserve">Lugar y modalidades de publicación o de comunicación del valor liquidativo: </w:t>
      </w:r>
    </w:p>
    <w:p w14:paraId="5525B942"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23410CD1"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valor liquidativo se calcula y se publica cada día en que el lugar de cotización Euronext Paris esté abierto o en que uno de los lugares en los que el Fondo esté admitido a cotización esté abierto (en especial </w:t>
      </w:r>
      <w:proofErr w:type="spellStart"/>
      <w:r>
        <w:rPr>
          <w:rFonts w:ascii="Arial" w:hAnsi="Arial"/>
          <w:color w:val="000000"/>
          <w:sz w:val="20"/>
        </w:rPr>
        <w:t>Borsa</w:t>
      </w:r>
      <w:proofErr w:type="spellEnd"/>
      <w:r>
        <w:rPr>
          <w:rFonts w:ascii="Arial" w:hAnsi="Arial"/>
          <w:color w:val="000000"/>
          <w:sz w:val="20"/>
        </w:rPr>
        <w:t xml:space="preserve"> Italiana, Deutsche </w:t>
      </w:r>
      <w:proofErr w:type="spellStart"/>
      <w:r>
        <w:rPr>
          <w:rFonts w:ascii="Arial" w:hAnsi="Arial"/>
          <w:color w:val="000000"/>
          <w:sz w:val="20"/>
        </w:rPr>
        <w:t>Börse</w:t>
      </w:r>
      <w:proofErr w:type="spellEnd"/>
      <w:r>
        <w:rPr>
          <w:rFonts w:ascii="Arial" w:hAnsi="Arial"/>
          <w:color w:val="000000"/>
          <w:sz w:val="20"/>
        </w:rPr>
        <w:t xml:space="preserve">, London Stock Exchange y SIX Swiss Exchange), salvo los días en que los mercados de cotización de los valores que compongan el índice estén </w:t>
      </w:r>
      <w:proofErr w:type="spellStart"/>
      <w:r>
        <w:rPr>
          <w:rFonts w:ascii="Arial" w:hAnsi="Arial"/>
          <w:color w:val="000000"/>
          <w:sz w:val="20"/>
        </w:rPr>
        <w:t>cerrados,bajo</w:t>
      </w:r>
      <w:proofErr w:type="spellEnd"/>
      <w:r>
        <w:rPr>
          <w:rFonts w:ascii="Arial" w:hAnsi="Arial"/>
          <w:color w:val="000000"/>
          <w:sz w:val="20"/>
        </w:rPr>
        <w:t xml:space="preserve"> la condición de que la cobertura de las órdenes aprobadas en los mercados primario y secundario sea posible.</w:t>
      </w:r>
    </w:p>
    <w:p w14:paraId="119580B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 xml:space="preserve"> </w:t>
      </w:r>
    </w:p>
    <w:p w14:paraId="2F78080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valor liquidativo del Fondo se halla disponible previa solicitud en la Sociedad de gestión y en su sitio web amundietf.com.</w:t>
      </w:r>
    </w:p>
    <w:p w14:paraId="2AD8F80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0B08F5E" w14:textId="7CC392AC"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otro lado, Euronext Paris publica, los días de publicación del valor liquidativo, un Precio de referencia (véase la sección «Precio de referencia») en euros.</w:t>
      </w:r>
    </w:p>
    <w:p w14:paraId="7078ED06" w14:textId="7F93BDE6"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1907233F" wp14:editId="15F8A9B8">
            <wp:extent cx="127000" cy="127000"/>
            <wp:effectExtent l="0" t="0" r="0" b="0"/>
            <wp:docPr id="10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Gastos y comisiones:</w:t>
      </w:r>
    </w:p>
    <w:p w14:paraId="68F1FBDD" w14:textId="1FA8FDEE"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41DFDD16" wp14:editId="7C8F4723">
            <wp:extent cx="127000" cy="127000"/>
            <wp:effectExtent l="0" t="0" r="0" b="0"/>
            <wp:docPr id="10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Comisiones de suscripción y de reembolso:</w:t>
      </w:r>
    </w:p>
    <w:p w14:paraId="24AA25B2" w14:textId="77777777" w:rsidR="00DC3D49" w:rsidRDefault="00DC3D49">
      <w:pPr>
        <w:autoSpaceDE w:val="0"/>
        <w:autoSpaceDN w:val="0"/>
        <w:adjustRightInd w:val="0"/>
        <w:spacing w:before="200" w:after="0" w:line="240" w:lineRule="auto"/>
        <w:jc w:val="both"/>
        <w:rPr>
          <w:rFonts w:ascii="Arial" w:hAnsi="Arial" w:cs="Arial"/>
          <w:i/>
          <w:iCs/>
          <w:color w:val="000000"/>
          <w:kern w:val="0"/>
          <w:sz w:val="20"/>
          <w:szCs w:val="20"/>
        </w:rPr>
      </w:pPr>
      <w:r>
        <w:rPr>
          <w:rFonts w:ascii="Arial" w:hAnsi="Arial"/>
          <w:i/>
          <w:color w:val="000000"/>
          <w:sz w:val="20"/>
        </w:rPr>
        <w:t>Las comisiones de suscripción y de reembolso incrementan el precio de suscripción abonado por el inversor o disminuyen el precio de reembolso. Las comisiones pertenecientes al Fondo sirven para compensar los gastos soportados por el Fondo al invertir o desinvertir las sumas de dinero confiadas. Las comisiones no pertenecientes al Fondo van a parar a la Sociedad Gestora, a la entidad comercializadora, etc.</w:t>
      </w:r>
    </w:p>
    <w:p w14:paraId="2E74EAB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65C57A6" w14:textId="77777777" w:rsidR="00DC3D49" w:rsidRDefault="00DC3D49">
      <w:pPr>
        <w:autoSpaceDE w:val="0"/>
        <w:autoSpaceDN w:val="0"/>
        <w:adjustRightInd w:val="0"/>
        <w:spacing w:after="200" w:line="240" w:lineRule="auto"/>
        <w:jc w:val="both"/>
        <w:rPr>
          <w:rFonts w:ascii="Arial" w:hAnsi="Arial" w:cs="Arial"/>
          <w:color w:val="000000"/>
          <w:kern w:val="0"/>
          <w:sz w:val="20"/>
          <w:szCs w:val="20"/>
        </w:rPr>
      </w:pPr>
      <w:r>
        <w:rPr>
          <w:rFonts w:ascii="Arial" w:hAnsi="Arial"/>
          <w:color w:val="000000"/>
          <w:sz w:val="20"/>
        </w:rPr>
        <w:t xml:space="preserve">            - En el mercado principal: </w:t>
      </w:r>
    </w:p>
    <w:p w14:paraId="2F9B62DB" w14:textId="77777777" w:rsidR="00DC3D49" w:rsidRDefault="00DC3D49">
      <w:pPr>
        <w:autoSpaceDE w:val="0"/>
        <w:autoSpaceDN w:val="0"/>
        <w:adjustRightInd w:val="0"/>
        <w:spacing w:after="200" w:line="240" w:lineRule="auto"/>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4100"/>
        <w:gridCol w:w="1720"/>
        <w:gridCol w:w="3140"/>
      </w:tblGrid>
      <w:tr w:rsidR="00DC3D49" w14:paraId="07F3A803"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72C4672"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Gastos asumidos por el inversor</w:t>
            </w:r>
          </w:p>
          <w:p w14:paraId="789769EA"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cobrados por las suscripciones y los reembolsos</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3C7226D"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Base de cálculo</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80A981"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Tipo</w:t>
            </w:r>
          </w:p>
        </w:tc>
      </w:tr>
      <w:tr w:rsidR="00DC3D49" w14:paraId="695E6C3E"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9812F04" w14:textId="77777777" w:rsidR="00DC3D49" w:rsidRDefault="00DC3D49">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suscripción no perteneciente al Fondo </w:t>
            </w:r>
          </w:p>
          <w:p w14:paraId="5BF58192"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78A510"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53614DA6"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56ECB671"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1FDE6C"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3 % por solicitud de suscripción </w:t>
            </w:r>
          </w:p>
          <w:p w14:paraId="2BA4B91E"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DC3D49" w14:paraId="07DF8A8D"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66B7723" w14:textId="77777777" w:rsidR="00DC3D49" w:rsidRDefault="00DC3D49">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suscripción perteneciente al Fondo </w:t>
            </w:r>
          </w:p>
          <w:p w14:paraId="43C67A2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489DA8"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6CD5030E"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42E325CC"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F2DEABD"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Ninguna</w:t>
            </w:r>
          </w:p>
          <w:p w14:paraId="3F931027"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DC3D49" w14:paraId="415D8CC9"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5D309A8" w14:textId="77777777" w:rsidR="00DC3D49" w:rsidRDefault="00DC3D49">
            <w:pPr>
              <w:autoSpaceDE w:val="0"/>
              <w:autoSpaceDN w:val="0"/>
              <w:adjustRightInd w:val="0"/>
              <w:spacing w:after="0" w:line="240" w:lineRule="auto"/>
              <w:jc w:val="both"/>
              <w:rPr>
                <w:rFonts w:ascii="Arial" w:hAnsi="Arial" w:cs="Arial"/>
                <w:color w:val="000000"/>
                <w:kern w:val="0"/>
                <w:sz w:val="14"/>
                <w:szCs w:val="14"/>
              </w:rPr>
            </w:pPr>
            <w:r>
              <w:rPr>
                <w:rFonts w:ascii="Arial" w:hAnsi="Arial"/>
                <w:color w:val="000000"/>
                <w:sz w:val="14"/>
              </w:rPr>
              <w:t xml:space="preserve">Comisión de reembolso no perteneciente al Fondo </w:t>
            </w:r>
          </w:p>
          <w:p w14:paraId="2C2641FB"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2BE0CC1"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5FFC2865"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p w14:paraId="67A69430"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C8FEC0C"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3 % por solicitud de reembolso</w:t>
            </w:r>
          </w:p>
          <w:p w14:paraId="385F76CE"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r w:rsidR="00DC3D49" w14:paraId="6F87C2BF" w14:textId="77777777">
        <w:tc>
          <w:tcPr>
            <w:tcW w:w="41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CEECD97" w14:textId="77777777" w:rsidR="00DC3D49" w:rsidRDefault="00DC3D49">
            <w:pPr>
              <w:autoSpaceDE w:val="0"/>
              <w:autoSpaceDN w:val="0"/>
              <w:adjustRightInd w:val="0"/>
              <w:spacing w:after="0" w:line="240" w:lineRule="auto"/>
              <w:rPr>
                <w:rFonts w:ascii="Arial" w:hAnsi="Arial" w:cs="Arial"/>
                <w:color w:val="000000"/>
                <w:kern w:val="0"/>
                <w:sz w:val="14"/>
                <w:szCs w:val="14"/>
              </w:rPr>
            </w:pPr>
            <w:r>
              <w:rPr>
                <w:rFonts w:ascii="Arial" w:hAnsi="Arial"/>
                <w:color w:val="000000"/>
                <w:sz w:val="14"/>
              </w:rPr>
              <w:t xml:space="preserve">Comisión de reembolso perteneciente al Fondo </w:t>
            </w:r>
          </w:p>
          <w:p w14:paraId="3051FA2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c>
          <w:tcPr>
            <w:tcW w:w="17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3F5FA37"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Valor liquidativo </w:t>
            </w:r>
          </w:p>
          <w:p w14:paraId="1E8CE03B"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X número de participaciones</w:t>
            </w:r>
          </w:p>
        </w:tc>
        <w:tc>
          <w:tcPr>
            <w:tcW w:w="31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D82FF84"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Ninguna</w:t>
            </w:r>
          </w:p>
          <w:p w14:paraId="45913AC0"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 xml:space="preserve"> </w:t>
            </w:r>
          </w:p>
        </w:tc>
      </w:tr>
    </w:tbl>
    <w:p w14:paraId="464701E9" w14:textId="77777777" w:rsidR="00DC3D49" w:rsidRDefault="00DC3D49">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Caso de exención:</w:t>
      </w:r>
    </w:p>
    <w:p w14:paraId="2D21307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Sociedad Gestora, BNP </w:t>
      </w:r>
      <w:proofErr w:type="spellStart"/>
      <w:r>
        <w:rPr>
          <w:rFonts w:ascii="Arial" w:hAnsi="Arial"/>
          <w:color w:val="000000"/>
          <w:sz w:val="20"/>
        </w:rPr>
        <w:t>Paribas</w:t>
      </w:r>
      <w:proofErr w:type="spellEnd"/>
      <w:r>
        <w:rPr>
          <w:rFonts w:ascii="Arial" w:hAnsi="Arial"/>
          <w:color w:val="000000"/>
          <w:sz w:val="20"/>
        </w:rPr>
        <w:t xml:space="preserve"> </w:t>
      </w:r>
      <w:proofErr w:type="spellStart"/>
      <w:r>
        <w:rPr>
          <w:rFonts w:ascii="Arial" w:hAnsi="Arial"/>
          <w:color w:val="000000"/>
          <w:sz w:val="20"/>
        </w:rPr>
        <w:t>Arbitrage</w:t>
      </w:r>
      <w:proofErr w:type="spellEnd"/>
      <w:r>
        <w:rPr>
          <w:rFonts w:ascii="Arial" w:hAnsi="Arial"/>
          <w:color w:val="000000"/>
          <w:sz w:val="20"/>
        </w:rPr>
        <w:t xml:space="preserve"> y BNP </w:t>
      </w:r>
      <w:proofErr w:type="spellStart"/>
      <w:r>
        <w:rPr>
          <w:rFonts w:ascii="Arial" w:hAnsi="Arial"/>
          <w:color w:val="000000"/>
          <w:sz w:val="20"/>
        </w:rPr>
        <w:t>Paribas</w:t>
      </w:r>
      <w:proofErr w:type="spellEnd"/>
      <w:r>
        <w:rPr>
          <w:rFonts w:ascii="Arial" w:hAnsi="Arial"/>
          <w:color w:val="000000"/>
          <w:sz w:val="20"/>
        </w:rPr>
        <w:t xml:space="preserve"> S.A. están exoneradas de la comisión de suscripción no perteneciente al fondo o a la comisión de reembolso no perteneciente al fondo. </w:t>
      </w:r>
    </w:p>
    <w:p w14:paraId="6D4D49D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9171D5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naturaleza de estas comisiones se detalla en el párrafo que describe las modalidades de suscripción y de reembolso.</w:t>
      </w:r>
    </w:p>
    <w:p w14:paraId="16CE6BA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804AA9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 En el mercado secundario:</w:t>
      </w:r>
    </w:p>
    <w:p w14:paraId="3611B3F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0327C7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compras y ventas en el mercado secundario no son objeto de ninguna comisión de suscripción o reembolso. Las órdenes de compra y venta de participaciones pueden llevarse a cabo en cualquier mercado de cotización en el que se haya admitido el Fondo a la cotización ante un intermediario autorizado. Sin embargo, la colocación de una orden de bolsa genera costes sobre los que la Sociedad Gestora no tiene ninguna influencia (como, por ejemplo, los gastos de corretaje relativos a las órdenes de compra y venta de las participaciones efectuadas en bolsa retenidas por el intermediario financiero del inversor).</w:t>
      </w:r>
    </w:p>
    <w:p w14:paraId="0BDD209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3D373DE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difusión de este folleto y la oferta o compra de participaciones del Fondo pueden estar sujetas a restricciones en algunos países. Este folleto no constituye una oferta ni una venta por iniciativa de cualquier persona en cualquier país en el que esta oferta o esta venta sea ilegal o en el que la persona que formula esta oferta o lleve a cabo esta venta no cumpla con las condiciones requeridas para ello o emplee a cualquier persona que no podría vender legalmente.</w:t>
      </w:r>
    </w:p>
    <w:p w14:paraId="0B4DCD76" w14:textId="42C4F818"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44316D7C" wp14:editId="6E475CEE">
            <wp:extent cx="127000" cy="127000"/>
            <wp:effectExtent l="0" t="0" r="0" b="0"/>
            <wp:docPr id="10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Gastos de funcionamiento y de gestión:</w:t>
      </w:r>
    </w:p>
    <w:p w14:paraId="42CFF0D9"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3E578B86" w14:textId="77777777" w:rsidR="00DC3D49" w:rsidRDefault="00DC3D49">
      <w:pPr>
        <w:autoSpaceDE w:val="0"/>
        <w:autoSpaceDN w:val="0"/>
        <w:adjustRightInd w:val="0"/>
        <w:spacing w:before="100" w:after="0" w:line="240" w:lineRule="auto"/>
        <w:jc w:val="both"/>
        <w:rPr>
          <w:rFonts w:ascii="Arial" w:hAnsi="Arial" w:cs="Arial"/>
          <w:i/>
          <w:iCs/>
          <w:color w:val="000000"/>
          <w:kern w:val="0"/>
          <w:sz w:val="20"/>
          <w:szCs w:val="20"/>
        </w:rPr>
      </w:pPr>
      <w:r>
        <w:rPr>
          <w:rFonts w:ascii="Arial" w:hAnsi="Arial"/>
          <w:i/>
          <w:color w:val="000000"/>
          <w:sz w:val="20"/>
        </w:rPr>
        <w:t xml:space="preserve">Estos gastos abarcan todos los gastos facturados directamente al Fondo, exceptuando los gastos de transacciones. </w:t>
      </w:r>
    </w:p>
    <w:p w14:paraId="3F90739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3AF2E84" w14:textId="77777777" w:rsidR="00DC3D49" w:rsidRDefault="00DC3D49">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 xml:space="preserve">Parte de las comisiones de gestión podrá transferirse a los distribuidores con los que la sociedad de gestión haya celebrado acuerdos de distribución. Se trata de distribuidores que forman parte o no del mismo grupo que la </w:t>
      </w:r>
      <w:r>
        <w:rPr>
          <w:rFonts w:ascii="Arial" w:hAnsi="Arial"/>
          <w:i/>
          <w:color w:val="000000"/>
          <w:sz w:val="20"/>
        </w:rPr>
        <w:lastRenderedPageBreak/>
        <w:t>sociedad de gestión. Estas comisiones se calculan sobre la base de un porcentaje de las comisiones de gestión financiera y se facturan a la Sociedad Gestora.</w:t>
      </w:r>
    </w:p>
    <w:p w14:paraId="12983C7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553A79E" w14:textId="77777777" w:rsidR="00DC3D49" w:rsidRDefault="00DC3D49">
      <w:pPr>
        <w:autoSpaceDE w:val="0"/>
        <w:autoSpaceDN w:val="0"/>
        <w:adjustRightInd w:val="0"/>
        <w:spacing w:after="0" w:line="240" w:lineRule="auto"/>
        <w:jc w:val="both"/>
        <w:rPr>
          <w:rFonts w:ascii="Arial" w:hAnsi="Arial" w:cs="Arial"/>
          <w:i/>
          <w:iCs/>
          <w:color w:val="000000"/>
          <w:kern w:val="0"/>
          <w:sz w:val="20"/>
          <w:szCs w:val="20"/>
        </w:rPr>
      </w:pPr>
      <w:r>
        <w:rPr>
          <w:rFonts w:ascii="Arial" w:hAnsi="Arial"/>
          <w:i/>
          <w:color w:val="000000"/>
          <w:sz w:val="20"/>
        </w:rPr>
        <w:t>A dichos gastos se pueden añadir:</w:t>
      </w:r>
    </w:p>
    <w:p w14:paraId="2552602C" w14:textId="494941F6" w:rsidR="00DC3D49" w:rsidRDefault="00C837FF">
      <w:pPr>
        <w:autoSpaceDE w:val="0"/>
        <w:autoSpaceDN w:val="0"/>
        <w:adjustRightInd w:val="0"/>
        <w:spacing w:after="0" w:line="240" w:lineRule="auto"/>
        <w:ind w:left="300"/>
        <w:jc w:val="both"/>
        <w:rPr>
          <w:rFonts w:ascii="Arial" w:hAnsi="Arial" w:cs="Arial"/>
          <w:i/>
          <w:iCs/>
          <w:color w:val="000000"/>
          <w:kern w:val="0"/>
          <w:sz w:val="20"/>
          <w:szCs w:val="20"/>
        </w:rPr>
      </w:pPr>
      <w:r>
        <w:rPr>
          <w:rFonts w:ascii="Arial" w:hAnsi="Arial"/>
          <w:i/>
          <w:noProof/>
          <w:color w:val="000000"/>
          <w:sz w:val="20"/>
        </w:rPr>
        <w:drawing>
          <wp:inline distT="0" distB="0" distL="0" distR="0" wp14:anchorId="3741F561" wp14:editId="05207586">
            <wp:extent cx="127000" cy="127000"/>
            <wp:effectExtent l="0" t="0" r="0" b="0"/>
            <wp:docPr id="10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i/>
          <w:color w:val="000000"/>
          <w:sz w:val="20"/>
        </w:rPr>
        <w:t>comisiones de rentabilidad superior. Estas remuneran a la Sociedad Gestora en caso de que el Fondo supere sus objetivos. Por ello, se facturan al Fondo;</w:t>
      </w:r>
    </w:p>
    <w:p w14:paraId="6440308E" w14:textId="627EF3CE" w:rsidR="00DC3D49" w:rsidRDefault="00C837FF">
      <w:pPr>
        <w:autoSpaceDE w:val="0"/>
        <w:autoSpaceDN w:val="0"/>
        <w:adjustRightInd w:val="0"/>
        <w:spacing w:after="0" w:line="240" w:lineRule="auto"/>
        <w:ind w:left="300"/>
        <w:jc w:val="both"/>
        <w:rPr>
          <w:rFonts w:ascii="Arial" w:hAnsi="Arial" w:cs="Arial"/>
          <w:i/>
          <w:iCs/>
          <w:color w:val="000000"/>
          <w:kern w:val="0"/>
          <w:sz w:val="20"/>
          <w:szCs w:val="20"/>
        </w:rPr>
      </w:pPr>
      <w:r>
        <w:rPr>
          <w:rFonts w:ascii="Arial" w:hAnsi="Arial"/>
          <w:i/>
          <w:noProof/>
          <w:color w:val="000000"/>
          <w:sz w:val="20"/>
        </w:rPr>
        <w:drawing>
          <wp:inline distT="0" distB="0" distL="0" distR="0" wp14:anchorId="786F6114" wp14:editId="580F6ABF">
            <wp:extent cx="127000" cy="127000"/>
            <wp:effectExtent l="0" t="0" r="0" b="0"/>
            <wp:docPr id="10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i/>
          <w:color w:val="000000"/>
          <w:sz w:val="20"/>
        </w:rPr>
        <w:t>gastos vinculados a las operaciones de adquisición y cesiones temporales de títulos.</w:t>
      </w:r>
    </w:p>
    <w:p w14:paraId="0D9396C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20AEB16" w14:textId="77777777" w:rsidR="00DC3D49" w:rsidRDefault="00DC3D49">
      <w:pPr>
        <w:autoSpaceDE w:val="0"/>
        <w:autoSpaceDN w:val="0"/>
        <w:adjustRightInd w:val="0"/>
        <w:spacing w:after="200" w:line="240" w:lineRule="auto"/>
        <w:jc w:val="both"/>
        <w:rPr>
          <w:rFonts w:ascii="Arial" w:hAnsi="Arial" w:cs="Arial"/>
          <w:i/>
          <w:iCs/>
          <w:color w:val="000000"/>
          <w:kern w:val="0"/>
          <w:sz w:val="20"/>
          <w:szCs w:val="20"/>
        </w:rPr>
      </w:pPr>
      <w:r>
        <w:rPr>
          <w:rFonts w:ascii="Arial" w:hAnsi="Arial"/>
          <w:i/>
          <w:color w:val="000000"/>
          <w:sz w:val="20"/>
        </w:rPr>
        <w:t>Si desea información más precisa sobre los gastos facturados al Fondo, consulte el documento de datos fundamentales.</w:t>
      </w:r>
    </w:p>
    <w:p w14:paraId="27E992B2" w14:textId="77777777" w:rsidR="00DC3D49" w:rsidRDefault="00DC3D49">
      <w:pPr>
        <w:autoSpaceDE w:val="0"/>
        <w:autoSpaceDN w:val="0"/>
        <w:adjustRightInd w:val="0"/>
        <w:spacing w:after="200" w:line="240" w:lineRule="auto"/>
        <w:jc w:val="both"/>
        <w:rPr>
          <w:rFonts w:ascii="Arial" w:hAnsi="Arial" w:cs="Arial"/>
          <w:color w:val="000000"/>
          <w:kern w:val="0"/>
          <w:sz w:val="2"/>
          <w:szCs w:val="2"/>
        </w:rPr>
      </w:pPr>
    </w:p>
    <w:tbl>
      <w:tblPr>
        <w:tblW w:w="0" w:type="auto"/>
        <w:tblInd w:w="40" w:type="dxa"/>
        <w:tblLayout w:type="fixed"/>
        <w:tblCellMar>
          <w:left w:w="100" w:type="dxa"/>
          <w:right w:w="100" w:type="dxa"/>
        </w:tblCellMar>
        <w:tblLook w:val="0000" w:firstRow="0" w:lastRow="0" w:firstColumn="0" w:lastColumn="0" w:noHBand="0" w:noVBand="0"/>
      </w:tblPr>
      <w:tblGrid>
        <w:gridCol w:w="4400"/>
        <w:gridCol w:w="1800"/>
        <w:gridCol w:w="2760"/>
      </w:tblGrid>
      <w:tr w:rsidR="00DC3D49" w14:paraId="71C716DB" w14:textId="77777777">
        <w:tc>
          <w:tcPr>
            <w:tcW w:w="4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6AD7920"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Gastos facturados al OICVM</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80C9EE3"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Base de cálculo</w:t>
            </w:r>
          </w:p>
        </w:tc>
        <w:tc>
          <w:tcPr>
            <w:tcW w:w="27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383145" w14:textId="77777777" w:rsidR="00DC3D49" w:rsidRDefault="00DC3D49">
            <w:pPr>
              <w:autoSpaceDE w:val="0"/>
              <w:autoSpaceDN w:val="0"/>
              <w:adjustRightInd w:val="0"/>
              <w:spacing w:after="0" w:line="240" w:lineRule="auto"/>
              <w:jc w:val="center"/>
              <w:rPr>
                <w:rFonts w:ascii="Arial" w:hAnsi="Arial" w:cs="Arial"/>
                <w:b/>
                <w:bCs/>
                <w:color w:val="000000"/>
                <w:kern w:val="0"/>
                <w:sz w:val="14"/>
                <w:szCs w:val="14"/>
              </w:rPr>
            </w:pPr>
            <w:r>
              <w:rPr>
                <w:rFonts w:ascii="Arial" w:hAnsi="Arial"/>
                <w:b/>
                <w:color w:val="000000"/>
                <w:sz w:val="14"/>
              </w:rPr>
              <w:t>Tipo de baremo</w:t>
            </w:r>
          </w:p>
        </w:tc>
      </w:tr>
      <w:tr w:rsidR="00DC3D49" w14:paraId="127360D2" w14:textId="77777777">
        <w:tc>
          <w:tcPr>
            <w:tcW w:w="44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DC4B3E2"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Porcentaje real fijo</w:t>
            </w:r>
          </w:p>
        </w:tc>
        <w:tc>
          <w:tcPr>
            <w:tcW w:w="180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35EDB1"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Activo neto</w:t>
            </w:r>
          </w:p>
        </w:tc>
        <w:tc>
          <w:tcPr>
            <w:tcW w:w="276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5ECA498" w14:textId="77777777" w:rsidR="00DC3D49" w:rsidRDefault="00DC3D49">
            <w:pPr>
              <w:autoSpaceDE w:val="0"/>
              <w:autoSpaceDN w:val="0"/>
              <w:adjustRightInd w:val="0"/>
              <w:spacing w:after="0" w:line="240" w:lineRule="auto"/>
              <w:jc w:val="center"/>
              <w:rPr>
                <w:rFonts w:ascii="Arial" w:hAnsi="Arial" w:cs="Arial"/>
                <w:color w:val="000000"/>
                <w:kern w:val="0"/>
                <w:sz w:val="14"/>
                <w:szCs w:val="14"/>
              </w:rPr>
            </w:pPr>
            <w:r>
              <w:rPr>
                <w:rFonts w:ascii="Arial" w:hAnsi="Arial"/>
                <w:color w:val="000000"/>
                <w:sz w:val="14"/>
              </w:rPr>
              <w:t>0,15 % (impuestos incluidos)</w:t>
            </w:r>
          </w:p>
        </w:tc>
      </w:tr>
    </w:tbl>
    <w:p w14:paraId="6F5606AB"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Los gastos de funcionamiento y de gestión se imputarán directamente a la cuenta de resultados del Fondo.</w:t>
      </w:r>
    </w:p>
    <w:p w14:paraId="524AB8A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siguientes gastos se podrán añadir a los gastos facturados al Fondo e indicados a continuación:</w:t>
      </w:r>
    </w:p>
    <w:p w14:paraId="179B5D5A" w14:textId="31FFB8EF"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63EC2A1C" wp14:editId="32744820">
            <wp:extent cx="127000" cy="127000"/>
            <wp:effectExtent l="0" t="0" r="0" b="0"/>
            <wp:docPr id="10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gastos jurídicos excepcionales relacionados con el cobro de las deudas del Fondo.</w:t>
      </w:r>
    </w:p>
    <w:p w14:paraId="3E590862" w14:textId="7FBEC4E5"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76185919" wp14:editId="009F7100">
            <wp:extent cx="127000" cy="127000"/>
            <wp:effectExtent l="0" t="0" r="0" b="0"/>
            <wp:docPr id="11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gastos vinculados a las contribuciones debidas por la Sociedad de gestión a la AMF por la gestión del Fondo.</w:t>
      </w:r>
    </w:p>
    <w:p w14:paraId="672C41D2" w14:textId="77777777" w:rsidR="00A9323A" w:rsidRDefault="00A9323A" w:rsidP="008B30CB">
      <w:pPr>
        <w:autoSpaceDE w:val="0"/>
        <w:autoSpaceDN w:val="0"/>
        <w:adjustRightInd w:val="0"/>
        <w:spacing w:after="0" w:line="240" w:lineRule="auto"/>
        <w:jc w:val="both"/>
        <w:rPr>
          <w:rFonts w:ascii="Arial" w:hAnsi="Arial" w:cs="Arial"/>
          <w:b/>
          <w:bCs/>
          <w:color w:val="000000"/>
          <w:kern w:val="0"/>
          <w:sz w:val="20"/>
          <w:szCs w:val="20"/>
        </w:rPr>
      </w:pPr>
    </w:p>
    <w:p w14:paraId="249BBBAC" w14:textId="341A11DE" w:rsidR="008B30CB" w:rsidRDefault="008B30CB" w:rsidP="008B30CB">
      <w:pPr>
        <w:autoSpaceDE w:val="0"/>
        <w:autoSpaceDN w:val="0"/>
        <w:adjustRightInd w:val="0"/>
        <w:spacing w:after="0" w:line="240" w:lineRule="auto"/>
        <w:jc w:val="both"/>
        <w:rPr>
          <w:rFonts w:ascii="Arial" w:hAnsi="Arial" w:cs="Arial"/>
          <w:b/>
          <w:bCs/>
          <w:color w:val="000000"/>
          <w:kern w:val="0"/>
          <w:sz w:val="20"/>
          <w:szCs w:val="20"/>
        </w:rPr>
      </w:pPr>
      <w:r>
        <w:rPr>
          <w:rFonts w:ascii="Arial" w:hAnsi="Arial"/>
          <w:b/>
          <w:color w:val="000000"/>
          <w:sz w:val="20"/>
        </w:rPr>
        <w:t>Política de selección de contrapartes</w:t>
      </w:r>
    </w:p>
    <w:p w14:paraId="52EB539D" w14:textId="77777777" w:rsidR="008B30CB" w:rsidRPr="00C12665" w:rsidRDefault="008B30CB" w:rsidP="008B30CB">
      <w:pPr>
        <w:autoSpaceDE w:val="0"/>
        <w:autoSpaceDN w:val="0"/>
        <w:adjustRightInd w:val="0"/>
        <w:spacing w:after="0" w:line="240" w:lineRule="auto"/>
        <w:jc w:val="both"/>
        <w:rPr>
          <w:rFonts w:ascii="Arial" w:hAnsi="Arial" w:cs="Arial"/>
          <w:b/>
          <w:bCs/>
          <w:color w:val="000000"/>
          <w:kern w:val="0"/>
          <w:sz w:val="20"/>
          <w:szCs w:val="20"/>
        </w:rPr>
      </w:pPr>
    </w:p>
    <w:p w14:paraId="057B68ED" w14:textId="77777777" w:rsidR="008B30CB" w:rsidRPr="008B30CB" w:rsidRDefault="008B30CB" w:rsidP="008B30CB">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de gestión aplica una política de selección de intermediarios y contrapartes financieras, en particular cuando celebra permutas financieras a plazo sobre la rentabilidad global (TRS) por cuenta del Fondo.</w:t>
      </w:r>
    </w:p>
    <w:p w14:paraId="6A75071A" w14:textId="77777777" w:rsidR="008B30CB" w:rsidRDefault="008B30CB" w:rsidP="008B30CB">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La Sociedad de gestión valida la lista de contrapartes «admisibles» en comités </w:t>
      </w:r>
      <w:r>
        <w:rPr>
          <w:rFonts w:ascii="Arial" w:hAnsi="Arial"/>
          <w:i/>
          <w:iCs/>
          <w:color w:val="000000"/>
          <w:sz w:val="20"/>
        </w:rPr>
        <w:t>ad hoc</w:t>
      </w:r>
      <w:r>
        <w:rPr>
          <w:rFonts w:ascii="Arial" w:hAnsi="Arial"/>
          <w:color w:val="000000"/>
          <w:sz w:val="20"/>
        </w:rPr>
        <w:t>, los «comités de mejor ejecución» (las «</w:t>
      </w:r>
      <w:r>
        <w:rPr>
          <w:rFonts w:ascii="Arial" w:hAnsi="Arial"/>
          <w:b/>
          <w:color w:val="000000"/>
          <w:sz w:val="20"/>
        </w:rPr>
        <w:t>Contrapartes admisibles</w:t>
      </w:r>
      <w:r>
        <w:rPr>
          <w:rFonts w:ascii="Arial" w:hAnsi="Arial"/>
          <w:color w:val="000000"/>
          <w:sz w:val="20"/>
        </w:rPr>
        <w:t>»).</w:t>
      </w:r>
    </w:p>
    <w:p w14:paraId="64B7AF7F" w14:textId="77777777" w:rsidR="008B30CB" w:rsidRPr="008B30CB" w:rsidRDefault="008B30CB" w:rsidP="008B30CB">
      <w:pPr>
        <w:autoSpaceDE w:val="0"/>
        <w:autoSpaceDN w:val="0"/>
        <w:adjustRightInd w:val="0"/>
        <w:spacing w:after="0" w:line="240" w:lineRule="auto"/>
        <w:jc w:val="both"/>
        <w:rPr>
          <w:rFonts w:ascii="Arial" w:hAnsi="Arial" w:cs="Arial"/>
          <w:color w:val="000000"/>
          <w:kern w:val="0"/>
          <w:sz w:val="20"/>
          <w:szCs w:val="20"/>
        </w:rPr>
      </w:pPr>
    </w:p>
    <w:p w14:paraId="269E5F14" w14:textId="77777777" w:rsidR="008B30CB" w:rsidRDefault="008B30CB" w:rsidP="008B30CB">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Contrapartes admisibles se seleccionan en función de varios criterios relacionados con los servicios de ejecución (como, en particular, el precio, la liquidez, la rapidez y el coste) según su importancia relativa en relación con el tipo de orden o instrumento financiero.</w:t>
      </w:r>
    </w:p>
    <w:p w14:paraId="647A2ED4" w14:textId="77777777" w:rsidR="008B30CB" w:rsidRPr="008B30CB" w:rsidRDefault="008B30CB" w:rsidP="008B30CB">
      <w:pPr>
        <w:autoSpaceDE w:val="0"/>
        <w:autoSpaceDN w:val="0"/>
        <w:adjustRightInd w:val="0"/>
        <w:spacing w:after="0" w:line="240" w:lineRule="auto"/>
        <w:jc w:val="both"/>
        <w:rPr>
          <w:rFonts w:ascii="Arial" w:hAnsi="Arial" w:cs="Arial"/>
          <w:color w:val="000000"/>
          <w:kern w:val="0"/>
          <w:sz w:val="20"/>
          <w:szCs w:val="20"/>
        </w:rPr>
      </w:pPr>
    </w:p>
    <w:p w14:paraId="24B25058" w14:textId="77777777" w:rsidR="008B30CB" w:rsidRDefault="008B30CB" w:rsidP="008B30CB">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Se seleccionan entidades financieras de un país de la OCDE cuya calificación mínima oscile entre AAA y BBB- en la escala de Standard &amp; </w:t>
      </w:r>
      <w:proofErr w:type="spellStart"/>
      <w:r>
        <w:rPr>
          <w:rFonts w:ascii="Arial" w:hAnsi="Arial"/>
          <w:color w:val="000000"/>
          <w:sz w:val="20"/>
        </w:rPr>
        <w:t>Poor’s</w:t>
      </w:r>
      <w:proofErr w:type="spellEnd"/>
      <w:r>
        <w:rPr>
          <w:rFonts w:ascii="Arial" w:hAnsi="Arial"/>
          <w:color w:val="000000"/>
          <w:sz w:val="20"/>
        </w:rPr>
        <w:t xml:space="preserve"> en la realización de la operación o que goce de una calificación que la Sociedad de gestión considere equivalente.</w:t>
      </w:r>
    </w:p>
    <w:p w14:paraId="3977E02C" w14:textId="77777777" w:rsidR="008B30CB" w:rsidRPr="008B30CB" w:rsidRDefault="008B30CB" w:rsidP="008B30CB">
      <w:pPr>
        <w:autoSpaceDE w:val="0"/>
        <w:autoSpaceDN w:val="0"/>
        <w:adjustRightInd w:val="0"/>
        <w:spacing w:after="0" w:line="240" w:lineRule="auto"/>
        <w:jc w:val="both"/>
        <w:rPr>
          <w:rFonts w:ascii="Arial" w:hAnsi="Arial" w:cs="Arial"/>
          <w:color w:val="000000"/>
          <w:kern w:val="0"/>
          <w:sz w:val="20"/>
          <w:szCs w:val="20"/>
        </w:rPr>
      </w:pPr>
    </w:p>
    <w:p w14:paraId="3C14D698" w14:textId="67C0FDC8" w:rsidR="008B30CB" w:rsidRDefault="008B30CB" w:rsidP="00C12665">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Además de lo anterior, la Sociedad de gestión aplica su política de mejor selección y ejecución. Para obtener más información sobre esta política y, en particular, sobre la importancia relativa de los diferentes criterios de ejecución por clase de activos, consulte nuestro sitio web: www.amundi.com.</w:t>
      </w:r>
    </w:p>
    <w:p w14:paraId="2F4FA43A" w14:textId="519B313D" w:rsidR="00DC3D49" w:rsidRDefault="00C837FF">
      <w:pPr>
        <w:autoSpaceDE w:val="0"/>
        <w:autoSpaceDN w:val="0"/>
        <w:adjustRightInd w:val="0"/>
        <w:spacing w:before="100" w:after="0" w:line="240" w:lineRule="auto"/>
        <w:ind w:left="300"/>
        <w:jc w:val="both"/>
        <w:rPr>
          <w:rFonts w:ascii="Arial" w:hAnsi="Arial" w:cs="Arial"/>
          <w:b/>
          <w:bCs/>
          <w:color w:val="000000"/>
          <w:kern w:val="0"/>
          <w:sz w:val="20"/>
          <w:szCs w:val="20"/>
          <w:u w:val="single"/>
        </w:rPr>
      </w:pPr>
      <w:r>
        <w:rPr>
          <w:rFonts w:ascii="Arial" w:hAnsi="Arial"/>
          <w:noProof/>
        </w:rPr>
        <w:drawing>
          <wp:inline distT="0" distB="0" distL="0" distR="0" wp14:anchorId="1F1F07A0" wp14:editId="33D01AA6">
            <wp:extent cx="127000" cy="127000"/>
            <wp:effectExtent l="0" t="0" r="0" b="0"/>
            <wp:docPr id="1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u w:val="single"/>
        </w:rPr>
        <w:t>Comisión en especie:</w:t>
      </w:r>
    </w:p>
    <w:p w14:paraId="1D5C12A0"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u w:val="single"/>
        </w:rPr>
      </w:pPr>
    </w:p>
    <w:p w14:paraId="70433786"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rPr>
        <w:t>La Sociedad Gestora no recibe por su cuenta ni por cuenta de terceros ninguna comisión en especie.</w:t>
      </w:r>
    </w:p>
    <w:p w14:paraId="5DB600BF" w14:textId="77777777" w:rsidR="00DC3D49" w:rsidRDefault="00DC3D49">
      <w:pPr>
        <w:autoSpaceDE w:val="0"/>
        <w:autoSpaceDN w:val="0"/>
        <w:adjustRightInd w:val="0"/>
        <w:spacing w:before="100" w:after="0" w:line="240" w:lineRule="auto"/>
        <w:jc w:val="both"/>
        <w:rPr>
          <w:rFonts w:ascii="Arial" w:hAnsi="Arial" w:cs="Arial"/>
          <w:color w:val="000000"/>
          <w:kern w:val="0"/>
          <w:sz w:val="20"/>
          <w:szCs w:val="20"/>
        </w:rPr>
      </w:pPr>
      <w:r>
        <w:rPr>
          <w:rFonts w:ascii="Arial" w:hAnsi="Arial"/>
          <w:color w:val="000000"/>
          <w:sz w:val="20"/>
          <w:u w:val="single"/>
        </w:rPr>
        <w:t>Advertencia</w:t>
      </w:r>
      <w:r>
        <w:rPr>
          <w:rFonts w:ascii="Arial" w:hAnsi="Arial"/>
          <w:color w:val="000000"/>
          <w:sz w:val="20"/>
        </w:rPr>
        <w:t xml:space="preserve">: </w:t>
      </w:r>
    </w:p>
    <w:p w14:paraId="2A477CF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régimen fiscal aplicable a las cantidades distribuidas por el Fondo o a las plusvalías o minusvalías latentes o realizadas por el Fondo depende de la normativa fiscal aplicable a la situación particular del inversor, de su residencia fiscal y/o de la jurisdicción de inversión del Fondo.</w:t>
      </w:r>
    </w:p>
    <w:p w14:paraId="1392314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Algunos de los ingresos distribuidos por el Fondo a no residentes en Francia son susceptibles de soportar en este Estado una retención en origen. Le aconsejamos que solicite información al respecto a su asesor fiscal habitual.</w:t>
      </w:r>
    </w:p>
    <w:p w14:paraId="6A793BF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7FD93D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Además, se advierte a los inversores de que la directiva sobre fiscalidad de los ingresos del ahorro impone ciertas obligaciones a los representantes y agentes del Fondo así como a ciertos tenedores del Fondo en materia fiscal. </w:t>
      </w:r>
    </w:p>
    <w:p w14:paraId="661EAD7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Otras normativas que imponen obligaciones similares deberán introducirse en las jurisdicciones ajenas a la Unión Europea. En principio, según esta directiva, y potencialmente según el resto de normativas similares que podrían adoptarse, los pagos de intereses (que pueden incluir el producto de la venta, del reembolso o de recompra de acciones del Fondo a ciertos accionistas) pueden, en ciertas circunstancias, declararse a las autoridades fiscales locales.</w:t>
      </w:r>
    </w:p>
    <w:p w14:paraId="41F2D90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C7C86A3" w14:textId="77777777" w:rsidR="00DC3D49" w:rsidRDefault="00DC3D49">
      <w:pPr>
        <w:autoSpaceDE w:val="0"/>
        <w:autoSpaceDN w:val="0"/>
        <w:adjustRightInd w:val="0"/>
        <w:spacing w:after="0" w:line="240" w:lineRule="auto"/>
        <w:jc w:val="both"/>
        <w:rPr>
          <w:rFonts w:ascii="Arial" w:hAnsi="Arial"/>
          <w:color w:val="000000"/>
          <w:sz w:val="20"/>
        </w:rPr>
      </w:pPr>
      <w:r>
        <w:rPr>
          <w:rFonts w:ascii="Arial" w:hAnsi="Arial"/>
          <w:color w:val="000000"/>
          <w:sz w:val="20"/>
        </w:rPr>
        <w:t>Para cualquier otra información adicional, los partícipes pueden consultar el informe anual del Fondo.</w:t>
      </w:r>
    </w:p>
    <w:p w14:paraId="22DD94C5" w14:textId="77777777" w:rsidR="00857814" w:rsidRDefault="00857814">
      <w:pPr>
        <w:autoSpaceDE w:val="0"/>
        <w:autoSpaceDN w:val="0"/>
        <w:adjustRightInd w:val="0"/>
        <w:spacing w:after="0" w:line="240" w:lineRule="auto"/>
        <w:jc w:val="both"/>
        <w:rPr>
          <w:rFonts w:ascii="Arial" w:hAnsi="Arial"/>
          <w:color w:val="000000"/>
          <w:sz w:val="20"/>
        </w:rPr>
      </w:pPr>
    </w:p>
    <w:p w14:paraId="21577251" w14:textId="77777777" w:rsidR="00857814" w:rsidRDefault="00857814">
      <w:pPr>
        <w:autoSpaceDE w:val="0"/>
        <w:autoSpaceDN w:val="0"/>
        <w:adjustRightInd w:val="0"/>
        <w:spacing w:after="0" w:line="240" w:lineRule="auto"/>
        <w:jc w:val="both"/>
        <w:rPr>
          <w:rFonts w:ascii="Arial" w:hAnsi="Arial"/>
          <w:color w:val="000000"/>
          <w:sz w:val="20"/>
        </w:rPr>
      </w:pPr>
    </w:p>
    <w:p w14:paraId="6E2A8B52" w14:textId="77777777" w:rsidR="00857814" w:rsidRDefault="00857814">
      <w:pPr>
        <w:autoSpaceDE w:val="0"/>
        <w:autoSpaceDN w:val="0"/>
        <w:adjustRightInd w:val="0"/>
        <w:spacing w:after="0" w:line="240" w:lineRule="auto"/>
        <w:jc w:val="both"/>
        <w:rPr>
          <w:rFonts w:ascii="Arial" w:hAnsi="Arial" w:cs="Arial"/>
          <w:color w:val="000000"/>
          <w:kern w:val="0"/>
          <w:sz w:val="20"/>
          <w:szCs w:val="20"/>
        </w:rPr>
      </w:pPr>
    </w:p>
    <w:p w14:paraId="7045CB51"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lastRenderedPageBreak/>
        <w:t>IV. INFORMACIÓN DE CARÁCTER COMERCIAL</w:t>
      </w:r>
    </w:p>
    <w:p w14:paraId="4095D3CB"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informa a los partícipes de los cambios que afectan al Fondo según las modalidades definidas por la Autoridad de Mercados Financieros: información particular o cualquier otro medio (aviso financiero, documento periódico…).</w:t>
      </w:r>
    </w:p>
    <w:p w14:paraId="4EEAE5D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48053C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avisos financieros podrán publicarse a través de la prensa y/o en el sitio web: www.amundi.fr, en el apartado «Actualidad».</w:t>
      </w:r>
    </w:p>
    <w:p w14:paraId="6A1BD27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866D84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folleto del Fondo, los últimos documentos anuales y periódicos, así como el valor liquidativo del Fondo se envían en el plazo de una semana previa a petición del partícipe a: </w:t>
      </w:r>
    </w:p>
    <w:p w14:paraId="2C8417F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Amundi </w:t>
      </w:r>
      <w:proofErr w:type="spellStart"/>
      <w:r>
        <w:rPr>
          <w:rFonts w:ascii="Arial" w:hAnsi="Arial"/>
          <w:color w:val="000000"/>
          <w:sz w:val="20"/>
        </w:rPr>
        <w:t>Asset</w:t>
      </w:r>
      <w:proofErr w:type="spellEnd"/>
      <w:r>
        <w:rPr>
          <w:rFonts w:ascii="Arial" w:hAnsi="Arial"/>
          <w:color w:val="000000"/>
          <w:sz w:val="20"/>
        </w:rPr>
        <w:t xml:space="preserve"> Management - Amundi ETF - 91-93, Boulevard Pasteur - CS 21564 - 75730 PARÍS </w:t>
      </w:r>
      <w:proofErr w:type="spellStart"/>
      <w:r>
        <w:rPr>
          <w:rFonts w:ascii="Arial" w:hAnsi="Arial"/>
          <w:color w:val="000000"/>
          <w:sz w:val="20"/>
        </w:rPr>
        <w:t>Cedex</w:t>
      </w:r>
      <w:proofErr w:type="spellEnd"/>
      <w:r>
        <w:rPr>
          <w:rFonts w:ascii="Arial" w:hAnsi="Arial"/>
          <w:color w:val="000000"/>
          <w:sz w:val="20"/>
        </w:rPr>
        <w:t xml:space="preserve"> 15</w:t>
      </w:r>
    </w:p>
    <w:p w14:paraId="62979E4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DA074F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Sociedad Gestora pone a disposición del inversor la información sobre las modalidades de consideración, en su política de inversión, de los criterios relativos al respeto de los objetivos sociales, medioambientales y de calidad de gobierno en su web amundi.com y en el informe anual del Fondo.</w:t>
      </w:r>
    </w:p>
    <w:p w14:paraId="3FB514A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0E5551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política de transparencia está disponible bajo solicitud a la Sociedad Gestora y en su sitio web amundietf.com, y la información sobre la composición de los activos del Fondo estará disponible previa solicitud a la Sociedad Gestora y en su sitio web amundietf.com, donde se publica con un retraso mínimo de tres días bursátiles.</w:t>
      </w:r>
    </w:p>
    <w:p w14:paraId="18FEC6E0"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Por otra parte, la Sociedad Gestora podrá transmitir, de forma directa o indirecta, la composición del activo del Fondo a los partícipes con calidad de inversores profesionales en relación con el control del ACPR de la AMF, o de las autoridades europeas equivalentes, con fines de cálculo de las exigencias reglamentarias vinculadas a la directiva sobre Solvencia II. Dicha transmisión tendrá lugar, si procede, en un plazo mínimo de 48 horas tras la publicación del valor liquidativo.</w:t>
      </w:r>
    </w:p>
    <w:p w14:paraId="01203F9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D3450E2" w14:textId="77777777" w:rsidR="00DC3D49" w:rsidRDefault="00DC3D49">
      <w:pPr>
        <w:autoSpaceDE w:val="0"/>
        <w:autoSpaceDN w:val="0"/>
        <w:adjustRightInd w:val="0"/>
        <w:spacing w:after="0" w:line="240" w:lineRule="auto"/>
        <w:jc w:val="both"/>
        <w:rPr>
          <w:rFonts w:ascii="Arial" w:hAnsi="Arial"/>
          <w:i/>
          <w:color w:val="000000"/>
          <w:sz w:val="20"/>
        </w:rPr>
      </w:pPr>
      <w:r>
        <w:rPr>
          <w:rFonts w:ascii="Arial" w:hAnsi="Arial"/>
          <w:color w:val="000000"/>
          <w:sz w:val="20"/>
        </w:rPr>
        <w:t>Puede solicitar información adicional a la Sociedad de gestión, así como obtenerla en el sitio web amundietf.com</w:t>
      </w:r>
      <w:r>
        <w:rPr>
          <w:rFonts w:ascii="Arial" w:hAnsi="Arial"/>
          <w:i/>
          <w:color w:val="000000"/>
          <w:sz w:val="20"/>
        </w:rPr>
        <w:t xml:space="preserve">. </w:t>
      </w:r>
    </w:p>
    <w:p w14:paraId="4E0B4EF4" w14:textId="77777777" w:rsidR="00857814" w:rsidRDefault="00857814">
      <w:pPr>
        <w:autoSpaceDE w:val="0"/>
        <w:autoSpaceDN w:val="0"/>
        <w:adjustRightInd w:val="0"/>
        <w:spacing w:after="0" w:line="240" w:lineRule="auto"/>
        <w:jc w:val="both"/>
        <w:rPr>
          <w:rFonts w:ascii="Arial" w:hAnsi="Arial" w:cs="Arial"/>
          <w:i/>
          <w:iCs/>
          <w:color w:val="000000"/>
          <w:kern w:val="0"/>
          <w:sz w:val="20"/>
          <w:szCs w:val="20"/>
        </w:rPr>
      </w:pPr>
    </w:p>
    <w:p w14:paraId="454F5ADC" w14:textId="77777777" w:rsidR="001B629D" w:rsidRPr="00E47365" w:rsidRDefault="001B629D" w:rsidP="00A9323A">
      <w:pPr>
        <w:spacing w:line="260" w:lineRule="exact"/>
        <w:ind w:right="72"/>
        <w:jc w:val="both"/>
        <w:textAlignment w:val="baseline"/>
        <w:rPr>
          <w:rFonts w:ascii="Arial" w:eastAsia="Arial" w:hAnsi="Arial" w:cs="Arial"/>
          <w:b/>
          <w:bCs/>
          <w:color w:val="000000"/>
          <w:sz w:val="20"/>
          <w:szCs w:val="20"/>
        </w:rPr>
      </w:pPr>
      <w:r>
        <w:rPr>
          <w:rFonts w:ascii="Arial" w:hAnsi="Arial"/>
          <w:b/>
          <w:color w:val="000000"/>
          <w:sz w:val="20"/>
        </w:rPr>
        <w:t>El Precio de referencia:</w:t>
      </w:r>
    </w:p>
    <w:p w14:paraId="105D8E8E"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La empresa de mercado publica el Precio de referencia durante las horas de cotización, cada día perteneciente al calendario de cálculo y publicación del valor liquidativo del Fondo.</w:t>
      </w:r>
    </w:p>
    <w:p w14:paraId="70328EE3"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Un Día bursátil es un día laborable del calendario de cálculo y de publicación del valor liquidativo del Fondo.</w:t>
      </w:r>
    </w:p>
    <w:p w14:paraId="5EA0883C"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El Precio de referencia es el valor bursátil teórico del Fondo en el instante «t», utilizado como referencia por los «Creadores de mercado» y por los inversores intradiarios. Viene determinado por cada mercado de cotización en el que las participaciones del Fondo han sido admitidas a cotización y negociación.</w:t>
      </w:r>
    </w:p>
    <w:p w14:paraId="4F9743AE"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El Precio de referencia se actualiza automáticamente cada día y permanentemente durante toda la jornada de cotización de las participaciones del Fondo.</w:t>
      </w:r>
    </w:p>
    <w:p w14:paraId="790C5AE6"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Si una o varias bolsas en las que cotizan los instrumentos financieros a plazo sobre materias primas, Si una o varias bolsas en las que cotizan los bonos, Si una o varias bolsas en las que cotizan las acciones, Si una o varias bolsas en las que cotizan los bonos, Si la bolsa de Estados Unidos o varias bolsas en las que cotizan los bonos que entran en la composición del Índice de estrategia del Indicador de referencia están cerradas (por ejemplo, durante los días festivos según el calendario Target) y, por lo tanto, no es posible calcular el Precio de referencia, se podrá suspender la negociación de las participaciones del Fondo.</w:t>
      </w:r>
    </w:p>
    <w:p w14:paraId="6A0830F3" w14:textId="364AAC51"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En el Euronext Paris, el Precio de referencia se publica cada quince segundos y durante toda la sesión de cotización en París (de 9:00 a 17:35 h). El Precio de referencia se publica en todo momento en el sitio web de Euronext Paris (</w:t>
      </w:r>
      <w:hyperlink r:id="rId20">
        <w:r>
          <w:rPr>
            <w:rFonts w:ascii="Arial" w:hAnsi="Arial"/>
            <w:color w:val="000000"/>
            <w:sz w:val="20"/>
          </w:rPr>
          <w:t>euronext.com</w:t>
        </w:r>
      </w:hyperlink>
      <w:r>
        <w:rPr>
          <w:rFonts w:ascii="Arial" w:hAnsi="Arial"/>
          <w:color w:val="000000"/>
          <w:sz w:val="20"/>
        </w:rPr>
        <w:t>) y en la mayoría de los proveedores de información financiera (Reuters y Bloomberg, entre otros).</w:t>
      </w:r>
    </w:p>
    <w:p w14:paraId="574ABCCF" w14:textId="77777777" w:rsidR="001B629D" w:rsidRPr="00E47365" w:rsidRDefault="001B629D" w:rsidP="00A9323A">
      <w:pPr>
        <w:spacing w:line="260" w:lineRule="exact"/>
        <w:ind w:right="72"/>
        <w:jc w:val="both"/>
        <w:textAlignment w:val="baseline"/>
        <w:rPr>
          <w:rFonts w:ascii="Arial" w:eastAsia="Arial" w:hAnsi="Arial" w:cs="Arial"/>
          <w:color w:val="000000"/>
          <w:sz w:val="20"/>
          <w:szCs w:val="20"/>
        </w:rPr>
      </w:pPr>
      <w:r>
        <w:rPr>
          <w:rFonts w:ascii="Arial" w:hAnsi="Arial"/>
          <w:color w:val="000000"/>
          <w:sz w:val="20"/>
        </w:rPr>
        <w:t>Los límites de cotización se fijan aplicando un porcentaje de variación del 1,5 % de una parte y de otra a partir del Precio de referencia del Fondo, publicado por Euronext Paris SA y actualizado aproximadamente durante la sesión en función de la variación del Índice del Indicador de referencia.</w:t>
      </w:r>
    </w:p>
    <w:p w14:paraId="733537C9" w14:textId="77777777" w:rsidR="00DC3D49" w:rsidRDefault="00DC3D49">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Reglamento (UE) 2019/2088, sobre la divulgación de información relativa a la sostenibilidad en el sector de los servicios financieros («Reglamento SFDR»).</w:t>
      </w:r>
    </w:p>
    <w:p w14:paraId="5BAA1D25"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Como participante en los mercados financieros, la Sociedad Gestora del Fondo está sujeta al Reglamento 2019/2088, de 27 de noviembre de 2019, sobre la divulgación de información relativa a la sostenibilidad en el sector de los servicios financieros («Reglamento SFDR»).</w:t>
      </w:r>
    </w:p>
    <w:p w14:paraId="282CE97D"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lastRenderedPageBreak/>
        <w:t>En dicho reglamento se establecen las normas armonizadas para los participantes en los mercados financieros sobre la transparencia en la integración de los riesgos de sostenibilidad (artículo 6 del Reglamento), los análisis de las implicaciones negativas en materia de sostenibilidad y la promoción de las características ambientales o sociales en el proceso de inversión (artículo 8 del Reglamento) o los objetivos de inversión sostenible (artículo 9 del Reglamento).</w:t>
      </w:r>
    </w:p>
    <w:p w14:paraId="5E061A1A"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riesgo de sostenibilidad se define como un hecho o una condición de carácter ambiental, social o de gobernanza que, de producirse, podría provocar un grave impacto negativo, ya sea real o potencial, en el valor de la inversión.</w:t>
      </w:r>
    </w:p>
    <w:p w14:paraId="2B24526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Por inversión sostenible se entienden las inversiones en una actividad económica que contribuyan a un objetivo medioambiental, medido, por ejemplo, a través de indicadores clave de eficiencia de recursos relativos al uso de la energía, de la energía renovable, consumo de materias primas, agua y suelo, producción de residuos y las emisiones de gases de efecto invernadero e impacto sobre la biodiversidad y la economía circular; o las inversiones en una actividad económica que contribuyan a un objetivo social y, en particular, toda inversión que contribuya a luchar contra la desigualdad, toda inversión en capital humano o en comunidades económica o socialmente desfavorecidas; siempre y cuando las inversiones no perjudiquen significativamente a ninguno de dichos objetivos y las empresas beneficiarias sigan prácticas de buena gobernanza, en particular en lo que respecta a que sus estructuras de gestión, relaciones con los asalariados y remuneración del personal pertinente sean sanas y cumplan las obligaciones tributarias.</w:t>
      </w:r>
    </w:p>
    <w:p w14:paraId="2B7A1608"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objetivo de este Fondo es reproducir con la mayor precisión posible, tanto al alza como a la baja, la rentabilidad de un índice que no incorpore riesgos de sostenibilidad en su metodología. Por lo tanto, el Fondo no incorpora riesgos de sostenibilidad en su proceso de inversión.</w:t>
      </w:r>
    </w:p>
    <w:p w14:paraId="05ABF7DE" w14:textId="77777777" w:rsidR="00DC3D49" w:rsidRDefault="00DC3D49">
      <w:pPr>
        <w:autoSpaceDE w:val="0"/>
        <w:autoSpaceDN w:val="0"/>
        <w:adjustRightInd w:val="0"/>
        <w:spacing w:before="200" w:after="0" w:line="240" w:lineRule="auto"/>
        <w:jc w:val="both"/>
        <w:rPr>
          <w:rFonts w:ascii="Arial" w:hAnsi="Arial" w:cs="Arial"/>
          <w:b/>
          <w:bCs/>
          <w:color w:val="000000"/>
          <w:kern w:val="0"/>
          <w:sz w:val="20"/>
          <w:szCs w:val="20"/>
        </w:rPr>
      </w:pPr>
      <w:r>
        <w:rPr>
          <w:rFonts w:ascii="Arial" w:hAnsi="Arial"/>
          <w:b/>
          <w:color w:val="000000"/>
          <w:sz w:val="20"/>
        </w:rPr>
        <w:t>Reglamento (UE) 2020/852 (el «Reglamento sobre la taxonomía») relativo al establecimiento de un marco para facilitar las inversiones sostenibles y por el que se modifica el Reglamento sobre la divulgación.</w:t>
      </w:r>
    </w:p>
    <w:p w14:paraId="3150B3A6"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En virtud del Reglamento sobre la taxonomía, las inversiones ambientalmente sostenibles son inversiones en una o varias actividades económicas que pueden considerarse ambientalmente sostenibles con arreglo a dicho Reglamento. A efectos de establecer el grado de sostenibilidad medioambiental de una inversión, se considera que una actividad económica es sostenible desde el punto de vista medioambiental cuando contribuye de forma sustancial a uno o varios de los objetivos medioambientales establecidos en el Reglamento sobre la taxonomía, no socava de forma significativa uno o varios de los objetivos medioambientales establecidos en dicho Reglamento, se lleva a cabo de acuerdo con las garantías mínimas establecidas en el mismo y cumple con los criterios de revisión técnica que han sido establecidos por la Comisión Europea de acuerdo con el Reglamento sobre la taxonomía. </w:t>
      </w:r>
    </w:p>
    <w:p w14:paraId="0008C365"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V. NORMAS DE INVERSIÓN</w:t>
      </w:r>
    </w:p>
    <w:p w14:paraId="6B3CB63B"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El Fondo respetará la normativa de inversión decretada por la Directiva europea </w:t>
      </w:r>
      <w:proofErr w:type="spellStart"/>
      <w:r>
        <w:rPr>
          <w:rFonts w:ascii="Arial" w:hAnsi="Arial"/>
          <w:color w:val="000000"/>
          <w:sz w:val="20"/>
        </w:rPr>
        <w:t>n.°</w:t>
      </w:r>
      <w:proofErr w:type="spellEnd"/>
      <w:r>
        <w:rPr>
          <w:rFonts w:ascii="Arial" w:hAnsi="Arial"/>
          <w:color w:val="000000"/>
          <w:sz w:val="20"/>
        </w:rPr>
        <w:t xml:space="preserve"> 2009/65/CE del 13 de julio de 2009.</w:t>
      </w:r>
    </w:p>
    <w:p w14:paraId="1327ECA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El Fondo respetará los ratios reglamentarios dictados por el CMF - Sección de regulación. </w:t>
      </w:r>
    </w:p>
    <w:p w14:paraId="7DAE5D1D"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37264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normas legales de inversión aplicables al Fondo son aquellas que rigen los OICVM cuyo activo se invierte, hasta un 10% en otras IIC, igual que aquellos que se aplican a su clasificación AMF «Acciones internacionales».</w:t>
      </w:r>
    </w:p>
    <w:p w14:paraId="4FC57971"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5D0CE9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Los principales instrumentos financieros y técnicas de gestión utilizadas por el Fondo se mencionan en el capítulo III.2 «Disposiciones particulares» del folleto. La Sociedad Gestora tendrá en cuenta las modificaciones del CMF en la gestión del Fondo en cuanto entren en vigor. </w:t>
      </w:r>
    </w:p>
    <w:p w14:paraId="460BF5B2" w14:textId="2317026D" w:rsidR="00DC3D49" w:rsidRDefault="00DC3D49" w:rsidP="00857814">
      <w:pPr>
        <w:autoSpaceDE w:val="0"/>
        <w:autoSpaceDN w:val="0"/>
        <w:adjustRightInd w:val="0"/>
        <w:spacing w:before="200" w:after="0" w:line="240" w:lineRule="auto"/>
        <w:jc w:val="both"/>
        <w:rPr>
          <w:rFonts w:ascii="Arial" w:hAnsi="Arial" w:cs="Arial"/>
          <w:color w:val="000000"/>
          <w:kern w:val="0"/>
          <w:sz w:val="20"/>
          <w:szCs w:val="20"/>
        </w:rPr>
      </w:pPr>
    </w:p>
    <w:p w14:paraId="53DD92E4" w14:textId="77777777" w:rsidR="00DC3D49" w:rsidRDefault="00DC3D49">
      <w:pPr>
        <w:widowControl w:val="0"/>
        <w:autoSpaceDE w:val="0"/>
        <w:autoSpaceDN w:val="0"/>
        <w:adjustRightInd w:val="0"/>
        <w:spacing w:after="200" w:line="240" w:lineRule="auto"/>
        <w:rPr>
          <w:rFonts w:ascii="Arial" w:hAnsi="Arial" w:cs="Arial"/>
          <w:color w:val="000000"/>
          <w:kern w:val="0"/>
          <w:sz w:val="2"/>
          <w:szCs w:val="2"/>
        </w:rPr>
      </w:pPr>
    </w:p>
    <w:tbl>
      <w:tblPr>
        <w:tblW w:w="0" w:type="auto"/>
        <w:tblInd w:w="60" w:type="dxa"/>
        <w:tblLayout w:type="fixed"/>
        <w:tblCellMar>
          <w:left w:w="100" w:type="dxa"/>
          <w:right w:w="100" w:type="dxa"/>
        </w:tblCellMar>
        <w:tblLook w:val="0000" w:firstRow="0" w:lastRow="0" w:firstColumn="0" w:lastColumn="0" w:noHBand="0" w:noVBand="0"/>
      </w:tblPr>
      <w:tblGrid>
        <w:gridCol w:w="8999"/>
      </w:tblGrid>
      <w:tr w:rsidR="00DC3D49" w14:paraId="23C3983C" w14:textId="77777777" w:rsidTr="00A9323A">
        <w:tc>
          <w:tcPr>
            <w:tcW w:w="8999" w:type="dxa"/>
            <w:tcMar>
              <w:top w:w="60" w:type="dxa"/>
              <w:left w:w="60" w:type="dxa"/>
              <w:bottom w:w="60" w:type="dxa"/>
              <w:right w:w="60" w:type="dxa"/>
            </w:tcMar>
          </w:tcPr>
          <w:p w14:paraId="76591DE0" w14:textId="755E19EB" w:rsidR="00DC3D49" w:rsidRDefault="00DC3D49" w:rsidP="00A9323A">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STOXX Y SUS CEDENTES NO TIENEN OTRO VÍNCULO CON EL TITULAR DE LA LICENCIA QUE LA LICENCIA QUE SE HA ATRIBUIDO PARA EL ÍNDICE 100% STOXX 50 (EUROPE)® Y LAS MARCAS REGISTRADAS ASOCIADAS A FINES DE UTILIZACIÓN EN RELACIÓN CON EL AMUNDI STOXX EUROPE 50 UCITS ETF.</w:t>
            </w:r>
          </w:p>
          <w:p w14:paraId="3C004804" w14:textId="2BB51987" w:rsidR="00DC3D49" w:rsidRDefault="00DC3D49" w:rsidP="00A9323A">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r>
              <w:rPr>
                <w:rFonts w:ascii="Arial" w:hAnsi="Arial"/>
                <w:b/>
                <w:color w:val="000000"/>
                <w:sz w:val="20"/>
              </w:rPr>
              <w:t>STOXX</w:t>
            </w:r>
            <w:r>
              <w:rPr>
                <w:rFonts w:ascii="Arial" w:hAnsi="Arial"/>
                <w:color w:val="000000"/>
                <w:sz w:val="20"/>
              </w:rPr>
              <w:t xml:space="preserve"> Y SUS CEDENTES:</w:t>
            </w:r>
          </w:p>
          <w:p w14:paraId="71D795F8" w14:textId="58F2A672" w:rsidR="00DC3D49" w:rsidRPr="00A9323A" w:rsidRDefault="00DC3D49" w:rsidP="00A9323A">
            <w:pPr>
              <w:pStyle w:val="ListParagraph"/>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REALIZAN DECLARACIONES DE GARANTÍA EN RELACIÓN CON UNA OPORTUNIDAD DE OPERACIÓN EN RELACIÓN CON LAS PARTICIPACIONES DEL AMUNDI STOXX EUROPE 50 UCITS ETF QUE ASIMISMO RENUNCIAN A VENDER Y PROMOVER.</w:t>
            </w:r>
          </w:p>
          <w:p w14:paraId="76A14719" w14:textId="3AAE508C" w:rsidR="00DC3D49" w:rsidRPr="00A9323A" w:rsidRDefault="00DC3D49" w:rsidP="00A9323A">
            <w:pPr>
              <w:pStyle w:val="ListParagraph"/>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EFECTÚAN RECOMENDACIONES DE INVERSIÓN A CUALESQUIERA PERSONAS SOBRE EL AMUNDI STOXX EUROPE 50 UCITS ETF O CUALQUIER OTRO TÍTULO.</w:t>
            </w:r>
          </w:p>
          <w:p w14:paraId="24317B9A" w14:textId="43F4308A" w:rsidR="00DC3D49" w:rsidRPr="00A9323A" w:rsidRDefault="00DC3D49" w:rsidP="00A9323A">
            <w:pPr>
              <w:pStyle w:val="ListParagraph"/>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lastRenderedPageBreak/>
              <w:t>NO ASUMEN RESPONSABILIDAD NI OBLIGACIÓN ALGUNA EN CUANTO A LA FECHA DE LANZAMIENTO, LA CANTIDAD Y EL PRECIO DE LAS PARTICIPACIONES DEL AMUNDI STOXX EUROPE 50 UCITS ETF, NI TOMAN DECISIONES AL RESPECTO.</w:t>
            </w:r>
          </w:p>
          <w:p w14:paraId="195F7D9E" w14:textId="4E83C586" w:rsidR="00DC3D49" w:rsidRPr="00A9323A" w:rsidRDefault="00DC3D49" w:rsidP="00A9323A">
            <w:pPr>
              <w:pStyle w:val="ListParagraph"/>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ASUMEN RESPONSABILIDAD NI OBLIGACIÓN ALGUNA SOBRE LA ADMINISTRACIÓN, LA GESTIÓN O LA COMERCIALIZACIÓN DEL AMUNDI STOXX EUROPE 50 UCITS ETF.</w:t>
            </w:r>
          </w:p>
          <w:p w14:paraId="7F62D27D" w14:textId="14E47424" w:rsidR="00DC3D49" w:rsidRPr="00A9323A" w:rsidRDefault="00DC3D49" w:rsidP="00A9323A">
            <w:pPr>
              <w:pStyle w:val="ListParagraph"/>
              <w:numPr>
                <w:ilvl w:val="0"/>
                <w:numId w:val="3"/>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NO ESTÁN OBLIGADOS A TOMAR EN CONSIDERACIÓN LAS NECESIDADES DEL AMUNDI STOXX EUROPE 50 UCITS ETF O DE SUS PARTÍCIPES PARA DETERMINAR, COMPONER O CALCULAR EL ÍNDICE 100% STOXX 50 (EUROPE)®.</w:t>
            </w:r>
          </w:p>
          <w:p w14:paraId="0D31F92E" w14:textId="77777777" w:rsidR="00DC3D49" w:rsidRPr="00A9323A" w:rsidRDefault="00DC3D49" w:rsidP="00A9323A">
            <w:pPr>
              <w:autoSpaceDE w:val="0"/>
              <w:autoSpaceDN w:val="0"/>
              <w:adjustRightInd w:val="0"/>
              <w:spacing w:after="0" w:line="240" w:lineRule="auto"/>
              <w:ind w:left="300"/>
              <w:jc w:val="both"/>
              <w:rPr>
                <w:rFonts w:ascii="Arial" w:hAnsi="Arial" w:cs="Arial"/>
                <w:color w:val="000000"/>
                <w:kern w:val="0"/>
                <w:sz w:val="20"/>
                <w:szCs w:val="20"/>
              </w:rPr>
            </w:pPr>
          </w:p>
          <w:p w14:paraId="5130FF40" w14:textId="69B272FF" w:rsidR="00DC3D49" w:rsidRPr="00A9323A" w:rsidRDefault="00DC3D49" w:rsidP="00A9323A">
            <w:p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STOXX Y SUS CEDENTES DECLINAN TODA RESPONSABILIDAD RELATIVA AL AMUNDI STOXX EUROPE 50 UCITS ETF. MÁS CONCRETAMENTE,</w:t>
            </w:r>
          </w:p>
          <w:p w14:paraId="5FBD142A" w14:textId="2762AC68"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STOXX Y SUS CEDENTES NO PROPORCIONAN NI ASEGURAN GARANTÍA ALGUNA, EXPRESA O IMPLÍCITA, SOBRE:</w:t>
            </w:r>
          </w:p>
          <w:p w14:paraId="73BB67E5" w14:textId="5EE4B697"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LOS RESULTADOS QUE DEBE OBTENER EL AMUNDI STOXX EUROPE 50 UCITS ETF, EL TITULAR DE PARTICIPACIONES DE AMUNDI STOXX EUROPE 50 UCITS ETF O TODA PERSONA IMPLICADA EN LA UTILIZACIÓN DEL ÍNDICE 100% STOXX 50 (EUROPE)® Y DE LOS DATOS INCLUIDOS EN EL 100% STOXX 50 (EUROPE)®;</w:t>
            </w:r>
          </w:p>
          <w:p w14:paraId="778DB7D2" w14:textId="7D811A68"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LA EXACTITUD O EXHAUSTIVIDAD DEL ÍNDICE 100% STOXX 50 (EUROPE)® Y LOS DATOS QUE CONTIENE;</w:t>
            </w:r>
          </w:p>
          <w:p w14:paraId="12D1E868" w14:textId="693B4D8D"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LA NEGOCIABILIDAD DEL ÍNDICE 100% STOXX 50 (EUROPE)® Y DE SUS DATOS, ASÍ COMO SU ADECUACIÓN A UN USO PRECISO O A UN FIN PARTICULAR;</w:t>
            </w:r>
          </w:p>
          <w:p w14:paraId="19CD8DAA" w14:textId="2B87850A"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STOXX Y SUS CEDENTES NO PUEDEN SER CONSIDERADOS RESPONSABLES DE CUALQUIER ERROR, OMISIÓN O INTERRUPCIÓN DEL ÍNDICE 100% STOXX 50 (EUROPE)® O LOS DATOS QUE CONTIENE;</w:t>
            </w:r>
          </w:p>
          <w:p w14:paraId="7DC068DA" w14:textId="309FE696" w:rsidR="00DC3D49" w:rsidRPr="00A9323A" w:rsidRDefault="00DC3D49" w:rsidP="00A9323A">
            <w:pPr>
              <w:pStyle w:val="ListParagraph"/>
              <w:numPr>
                <w:ilvl w:val="0"/>
                <w:numId w:val="5"/>
              </w:numPr>
              <w:autoSpaceDE w:val="0"/>
              <w:autoSpaceDN w:val="0"/>
              <w:adjustRightInd w:val="0"/>
              <w:spacing w:after="0" w:line="240" w:lineRule="auto"/>
              <w:jc w:val="both"/>
              <w:rPr>
                <w:rFonts w:ascii="Times New Roman" w:hAnsi="Times New Roman"/>
                <w:color w:val="000000"/>
                <w:kern w:val="0"/>
                <w:sz w:val="22"/>
                <w:szCs w:val="22"/>
              </w:rPr>
            </w:pPr>
            <w:r>
              <w:rPr>
                <w:rFonts w:ascii="Times New Roman" w:hAnsi="Times New Roman"/>
                <w:color w:val="000000"/>
                <w:sz w:val="22"/>
              </w:rPr>
              <w:t>EN NINGÚN CASO, STOXX O SUS CEDENTES PUEDEN SER CONSIDERADOS RESPONSABLES DE CUALQUIER LUCRO CESANTE. TAMPOCO SON CONSIDERADOS RESPONSABLES DE CUALQUIER INDEMNIZACIÓN POR DAÑOS O PERJUICIOS Y SUS CEDENTES HAN SIDO ADVERTIDOS DE DICHOS RIESGOS.</w:t>
            </w:r>
          </w:p>
          <w:p w14:paraId="598378F1" w14:textId="4FD952CB" w:rsidR="00DC3D49" w:rsidRDefault="00DC3D49" w:rsidP="00A9323A">
            <w:pPr>
              <w:autoSpaceDE w:val="0"/>
              <w:autoSpaceDN w:val="0"/>
              <w:adjustRightInd w:val="0"/>
              <w:spacing w:after="0" w:line="240" w:lineRule="auto"/>
              <w:jc w:val="both"/>
              <w:rPr>
                <w:rFonts w:ascii="Times New Roman" w:hAnsi="Times New Roman"/>
                <w:b/>
                <w:bCs/>
                <w:color w:val="000000"/>
                <w:kern w:val="0"/>
                <w:sz w:val="22"/>
                <w:szCs w:val="22"/>
              </w:rPr>
            </w:pPr>
            <w:r>
              <w:rPr>
                <w:rFonts w:ascii="Times New Roman" w:hAnsi="Times New Roman"/>
                <w:color w:val="000000"/>
                <w:sz w:val="22"/>
              </w:rPr>
              <w:t>EL CONTRATO DE LICENCIA ENTRE AMUNDI ASSET MANAGEMENT Y STOXX SE HA CONCLUIDO EN SU INTERÉS Y NO EN INTERÉS DE LOS PARTÍCIPES DEL AMUNDI STOXX EUROPE 50 UCITS ETF O DE TERCEROS.</w:t>
            </w:r>
          </w:p>
        </w:tc>
      </w:tr>
    </w:tbl>
    <w:p w14:paraId="21B3F1BE"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lastRenderedPageBreak/>
        <w:t xml:space="preserve">VI. RIESGO GLOBAL </w:t>
      </w:r>
    </w:p>
    <w:p w14:paraId="0F4DC57E"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Método del cálculo del importe comprometido:</w:t>
      </w:r>
    </w:p>
    <w:p w14:paraId="359E207B"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VII. NORMATIVA DE EVALUACIÓN Y CONTABILIZACIÓN DE LOS ACTIVOS</w:t>
      </w:r>
    </w:p>
    <w:p w14:paraId="0E50E0E2" w14:textId="542018EE"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405C06E7" wp14:editId="08FC5A47">
            <wp:extent cx="127000" cy="127000"/>
            <wp:effectExtent l="0" t="0" r="0" b="0"/>
            <wp:docPr id="1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Principio</w:t>
      </w:r>
    </w:p>
    <w:p w14:paraId="78F1DB3C"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Se aplica la práctica contable general respetando los principios de:</w:t>
      </w:r>
    </w:p>
    <w:p w14:paraId="71748188" w14:textId="6754479D"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25819BB8" wp14:editId="1074AE6D">
            <wp:extent cx="127000" cy="127000"/>
            <wp:effectExtent l="0" t="0" r="0" b="0"/>
            <wp:docPr id="119"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de continuidad de la explotación;</w:t>
      </w:r>
    </w:p>
    <w:p w14:paraId="1D9A3E9C" w14:textId="46BE4B53"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783FA67A" wp14:editId="0C702EC1">
            <wp:extent cx="127000" cy="127000"/>
            <wp:effectExtent l="0" t="0" r="0" b="0"/>
            <wp:docPr id="120"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de permanencia de los métodos contables de un ejercicio a otro; y</w:t>
      </w:r>
    </w:p>
    <w:p w14:paraId="4160B86B" w14:textId="0DC813DA"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CE27ED9" wp14:editId="00490EC4">
            <wp:extent cx="127000" cy="127000"/>
            <wp:effectExtent l="0" t="0" r="0" b="0"/>
            <wp:docPr id="12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de independencia de los ejercicios.</w:t>
      </w:r>
    </w:p>
    <w:p w14:paraId="368FC13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3F4BE8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El método de base elegido, para el registro de los elementos de activos en la contabilidad, es el método de los costes históricos, salvo en lo que se refiere a la evaluación de la cartera.</w:t>
      </w:r>
    </w:p>
    <w:p w14:paraId="1F3E8043" w14:textId="78913A6A"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8290D4B" wp14:editId="346A998B">
            <wp:extent cx="127000" cy="127000"/>
            <wp:effectExtent l="0" t="0" r="0" b="0"/>
            <wp:docPr id="12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Normas de evaluación de los activos</w:t>
      </w:r>
    </w:p>
    <w:p w14:paraId="0234286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cálculo del valor liquidativo de la participación se realiza teniendo en cuenta las normas de evaluación que se detallan a continuación:</w:t>
      </w:r>
    </w:p>
    <w:p w14:paraId="25FE345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42B7176" w14:textId="747227DF"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9EFD482" wp14:editId="4692451C">
            <wp:extent cx="127000" cy="127000"/>
            <wp:effectExtent l="0" t="0" r="0" b="0"/>
            <wp:docPr id="12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valores mobiliarios negociados en un mercado regulado francés o extranjero se evalúan al precio de mercado. La evaluación al precio del mercado de referencia se efectúa según las modalidades decididas por la Sociedad Gestora. Los valores mobiliarios aportados al Fondo u ostentados por este, se evalúan a la última cotización en bolsa.</w:t>
      </w:r>
    </w:p>
    <w:p w14:paraId="31AC83A6"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42435198" w14:textId="18C7658C"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lastRenderedPageBreak/>
        <w:drawing>
          <wp:inline distT="0" distB="0" distL="0" distR="0" wp14:anchorId="40B84609" wp14:editId="49929E15">
            <wp:extent cx="127000" cy="127000"/>
            <wp:effectExtent l="0" t="0" r="0" b="0"/>
            <wp:docPr id="1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Las diferencias entre las cotizaciones bursátiles utilizadas en el cálculo del valor liquidativo y los costes históricos de los valores mobiliarios que constituyen la cartera, se anotan en la cuenta «Diferencias de cálculo».</w:t>
      </w:r>
    </w:p>
    <w:p w14:paraId="2B9E0957"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8D90F4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Sin embargo:</w:t>
      </w:r>
    </w:p>
    <w:p w14:paraId="6A2B9A8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5D47D1F" w14:textId="7B3B8662"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786393B1" wp14:editId="6590B34D">
            <wp:extent cx="127000" cy="127000"/>
            <wp:effectExtent l="0" t="0" r="0" b="0"/>
            <wp:docPr id="1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valores mobiliarios cuya cotización no ha sido constatada el día de la evaluación o cuya cotización ha sido corregida se evalúan al valor probable de negociación bajo la responsabilidad de la Sociedad de gestión. Estas valoraciones y su justificación se comunican al auditor en el transcurso de sus auditorías.</w:t>
      </w:r>
    </w:p>
    <w:p w14:paraId="63D0D1B2"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D0985C9" w14:textId="05CA10AC"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1F25F7FF" wp14:editId="73F7D598">
            <wp:extent cx="127000" cy="127000"/>
            <wp:effectExtent l="0" t="0" r="0" b="0"/>
            <wp:docPr id="1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títulos de deuda, y afines negociables que no son objeto de transacciones significativas son evaluados mediante un método actuarial y el tipo aplicable es el de las emisiones de títulos equivalentes, afectado, cuando sea el caso, por una desviación representativa de las características intrínsecas del emisor del título. No obstante, los títulos de créditos negociables con una duración residual inferior o igual a 3 meses y en ausencia de una sensibilidad particular, podrán evaluarse según el método lineal. La Sociedad Gestora por delegación fija las modalidades de aplicación de estas normas. Con arreglo a las instrucciones de la Autoridad de Mercados Financieros, los títulos de deuda negociables (excepto los bonos del Tesoro), se valoran como se indica a continuación:</w:t>
      </w:r>
    </w:p>
    <w:p w14:paraId="515E4DF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29E2677C" w14:textId="11AAC5F6" w:rsidR="00DC3D49" w:rsidRPr="00857814" w:rsidRDefault="00DC3D49" w:rsidP="00A9323A">
      <w:pPr>
        <w:pStyle w:val="ListParagraph"/>
        <w:numPr>
          <w:ilvl w:val="0"/>
          <w:numId w:val="7"/>
        </w:numPr>
        <w:autoSpaceDE w:val="0"/>
        <w:autoSpaceDN w:val="0"/>
        <w:adjustRightInd w:val="0"/>
        <w:spacing w:after="0" w:line="240" w:lineRule="auto"/>
        <w:jc w:val="both"/>
        <w:rPr>
          <w:rFonts w:ascii="Arial" w:hAnsi="Arial"/>
          <w:color w:val="000000"/>
          <w:sz w:val="20"/>
        </w:rPr>
      </w:pPr>
      <w:r w:rsidRPr="00857814">
        <w:rPr>
          <w:rFonts w:ascii="Arial" w:hAnsi="Arial"/>
          <w:color w:val="000000"/>
          <w:sz w:val="20"/>
        </w:rPr>
        <w:t>Títulos inferiores o iguales a 3 meses (cortos): La evaluación se realiza según el precio de coste, con escalonamiento de la disminución del valor o sobre una calificación, a lo largo de la duración que falta cubrir.</w:t>
      </w:r>
    </w:p>
    <w:p w14:paraId="6DA8B698" w14:textId="5F791866" w:rsidR="00DC3D49" w:rsidRPr="00A9323A" w:rsidRDefault="00DC3D49" w:rsidP="00A9323A">
      <w:pPr>
        <w:pStyle w:val="ListParagraph"/>
        <w:numPr>
          <w:ilvl w:val="0"/>
          <w:numId w:val="7"/>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Títulos superiores a 3 meses e inferiores o iguales a 1 año: Se valoran al Euribor según la cotización oficial, más o menos un margen, en función de la firma del emisor.</w:t>
      </w:r>
    </w:p>
    <w:p w14:paraId="7C71C80C" w14:textId="43A9FD70" w:rsidR="00DC3D49" w:rsidRPr="00A9323A" w:rsidRDefault="00DC3D49" w:rsidP="00A9323A">
      <w:pPr>
        <w:pStyle w:val="ListParagraph"/>
        <w:numPr>
          <w:ilvl w:val="0"/>
          <w:numId w:val="7"/>
        </w:num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Títulos superiores a 1 año: Se valoran al tipo del BTAN equivalente, más o menos un margen, en función de la firma del emisor.</w:t>
      </w:r>
    </w:p>
    <w:p w14:paraId="341464A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D67257B" w14:textId="60385674"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7CBC33DF" wp14:editId="0DE3336B">
            <wp:extent cx="127000" cy="127000"/>
            <wp:effectExtent l="0" t="0" r="0" b="0"/>
            <wp:docPr id="1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bonos del Tesoro se valoran al tipo del mercado, comunicado cada día por el Banco de Francia.</w:t>
      </w:r>
    </w:p>
    <w:p w14:paraId="491590F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B680151" w14:textId="10BB87CE"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5B1EFFB3" wp14:editId="44BC8EB5">
            <wp:extent cx="127000" cy="127000"/>
            <wp:effectExtent l="0" t="0" r="0" b="0"/>
            <wp:docPr id="13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Las participaciones o acciones del OICVM se evalúan según el último valor liquidativo conocido.</w:t>
      </w:r>
    </w:p>
    <w:p w14:paraId="40075E3C"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5B70D85" w14:textId="31E2E569"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4F446273" wp14:editId="1D71CD6F">
            <wp:extent cx="127000" cy="127000"/>
            <wp:effectExtent l="0" t="0" r="0" b="0"/>
            <wp:docPr id="13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títulos no negociados en un mercado regulado se evalúan bajo responsabilidad de la Sociedad de gestión al valor probable de negociación. Se evalúan utilizando métodos basados en el valor patrimonial y la rentabilidad, teniendo en cuenta los precios elegidos durante transacciones significativas recientes.</w:t>
      </w:r>
    </w:p>
    <w:p w14:paraId="0A8E8C7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19AFB9D4" w14:textId="0704D613" w:rsidR="00DC3D49" w:rsidRDefault="00C837FF">
      <w:pPr>
        <w:autoSpaceDE w:val="0"/>
        <w:autoSpaceDN w:val="0"/>
        <w:adjustRightInd w:val="0"/>
        <w:spacing w:after="0" w:line="240" w:lineRule="auto"/>
        <w:jc w:val="both"/>
        <w:rPr>
          <w:rFonts w:ascii="Arial" w:hAnsi="Arial" w:cs="Arial"/>
          <w:color w:val="000000"/>
          <w:kern w:val="0"/>
          <w:sz w:val="20"/>
          <w:szCs w:val="20"/>
        </w:rPr>
      </w:pPr>
      <w:r>
        <w:rPr>
          <w:rFonts w:ascii="Arial" w:hAnsi="Arial"/>
          <w:noProof/>
          <w:color w:val="000000"/>
          <w:sz w:val="20"/>
        </w:rPr>
        <w:drawing>
          <wp:inline distT="0" distB="0" distL="0" distR="0" wp14:anchorId="0D81A940" wp14:editId="3C5E4188">
            <wp:extent cx="127000" cy="127000"/>
            <wp:effectExtent l="0" t="0" r="0" b="0"/>
            <wp:docPr id="13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valores mobiliarios objeto de contratos de cesión o de adquisición temporales se evalúan conforme a la normativa vigente, y la Sociedad de gestión decide las modalidades de aplicación.</w:t>
      </w:r>
    </w:p>
    <w:p w14:paraId="0578B28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26523C9"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Los títulos con pacto de recompra se anotan en la cartera del comprador en la sección «Créditos representativos de los títulos con pacto de recompra» por sus importes previstos en los contratos, a los que se añaden los intereses que se percibirán. Sin embargo, cuando su vencimiento sea superior a 3 meses, dichos títulos se valorarán al valor actual del contrato (valor de mercado). </w:t>
      </w:r>
    </w:p>
    <w:p w14:paraId="7D1A8179"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 xml:space="preserve"> </w:t>
      </w:r>
    </w:p>
    <w:p w14:paraId="7CE60CA5"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Los títulos con pacto de recompra anotados en la cartera del comprador se valoran según la cotización bursátil. Los intereses que se perciben y se abonan por las operaciones de repo se calculan en proporción del tiempo. La deuda representativa de los títulos objeto de recompra se inscribe en la cartera del vendedor, al valor fijado en el contrato, al que se añaden los intereses por pagar. Por último, los intereses cobrados y desembolsados se contabilizan en ingresos de deuda. Sin embargo, cuando su vencimiento sea superior a 3 meses, dichos títulos se valorarán al valor actual del contrato (valor de mercado).</w:t>
      </w:r>
    </w:p>
    <w:p w14:paraId="2080194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D5715C1"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color w:val="000000"/>
          <w:sz w:val="20"/>
        </w:rPr>
        <w:t>Los títulos prestados se valoran al precio de mercado. La indemnización cobrada correspondiente se registra en ingresos de deuda. Los intereses devengados se incluyen en el valor bursátil de los títulos prestados.</w:t>
      </w:r>
    </w:p>
    <w:p w14:paraId="40EA803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7F4524BA" w14:textId="4F8AE282"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4246BD10" wp14:editId="277F090C">
            <wp:extent cx="127000" cy="127000"/>
            <wp:effectExtent l="0" t="0" r="0" b="0"/>
            <wp:docPr id="13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Las operaciones con instrumentos financieros a plazo, ya sean firmes o condicionales, que se negocien en los mercados organizados franceses o extranjeros se valoran al valor de mercado según las modalidades decididas por la Sociedad de gestión. Los contratos en mercados a plazo se valoran al precio de compensación.</w:t>
      </w:r>
    </w:p>
    <w:p w14:paraId="1A9EEB9C"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5DC172D9"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Valoración de las garantías financieras:</w:t>
      </w:r>
    </w:p>
    <w:p w14:paraId="615FCAFE"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Las garantías se evalúan a diario a precio de mercado («</w:t>
      </w:r>
      <w:proofErr w:type="spellStart"/>
      <w:r>
        <w:rPr>
          <w:rFonts w:ascii="Arial" w:hAnsi="Arial"/>
          <w:color w:val="000000"/>
          <w:sz w:val="20"/>
        </w:rPr>
        <w:t>mark-to-market</w:t>
      </w:r>
      <w:proofErr w:type="spellEnd"/>
      <w:r>
        <w:rPr>
          <w:rFonts w:ascii="Arial" w:hAnsi="Arial"/>
          <w:color w:val="000000"/>
          <w:sz w:val="20"/>
        </w:rPr>
        <w:t xml:space="preserve">»). Pueden aplicarse descuentos al colateral recibido, los cuales tienen en cuenta la calidad del crédito, la volatilidad de los precios de los valores, así como el resultado de las simulaciones de crisis realizadas. Los ajustes de márgenes se realizan a diario, </w:t>
      </w:r>
      <w:r>
        <w:rPr>
          <w:rFonts w:ascii="Arial" w:hAnsi="Arial"/>
          <w:color w:val="000000"/>
          <w:sz w:val="20"/>
        </w:rPr>
        <w:lastRenderedPageBreak/>
        <w:t xml:space="preserve">salvo que el contrato marco establezca lo contrario en cuanto a dichas operaciones, o bien en caso de acuerdo entre la sociedad de gestión y la contraparte acerca de un límite de activación.  </w:t>
      </w:r>
    </w:p>
    <w:p w14:paraId="32FB5C26" w14:textId="2AD1C67A" w:rsidR="00DC3D49" w:rsidRDefault="00C837FF">
      <w:pPr>
        <w:autoSpaceDE w:val="0"/>
        <w:autoSpaceDN w:val="0"/>
        <w:adjustRightInd w:val="0"/>
        <w:spacing w:before="200" w:after="0" w:line="240" w:lineRule="auto"/>
        <w:ind w:left="600"/>
        <w:jc w:val="both"/>
        <w:rPr>
          <w:rFonts w:ascii="Arial" w:hAnsi="Arial" w:cs="Arial"/>
          <w:color w:val="000000"/>
          <w:kern w:val="0"/>
          <w:sz w:val="20"/>
          <w:szCs w:val="20"/>
        </w:rPr>
      </w:pPr>
      <w:r>
        <w:rPr>
          <w:rFonts w:ascii="Arial" w:hAnsi="Arial"/>
          <w:noProof/>
        </w:rPr>
        <w:drawing>
          <wp:inline distT="0" distB="0" distL="0" distR="0" wp14:anchorId="2ECFED39" wp14:editId="6D5D2E9A">
            <wp:extent cx="127000" cy="127000"/>
            <wp:effectExtent l="0" t="0" r="0" b="0"/>
            <wp:docPr id="1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 xml:space="preserve">Las operaciones a plazo, firmes o condicionales, o las operaciones de permuta concluidas en los mercados extrabursátiles, autorizadas por la normativa aplicable a los OICVM, se valoran a su valor de mercado o a un valor estimado según las modalidades decididas por la Sociedad de gestión. Las permutas financieras de tipo de interés y/o de divisas se valoran a su valor de mercado, en función del precio calculado por actualización de los flujos de tesorería futuros (principal e intereses), a los tipos de interés y/o de divisas de mercado. Dicho precio se corrige teniendo en cuenta el riesgo de firma. </w:t>
      </w:r>
    </w:p>
    <w:p w14:paraId="700AEA87" w14:textId="77777777" w:rsidR="00DC3D49" w:rsidRDefault="00DC3D49">
      <w:pPr>
        <w:autoSpaceDE w:val="0"/>
        <w:autoSpaceDN w:val="0"/>
        <w:adjustRightInd w:val="0"/>
        <w:spacing w:after="0" w:line="240" w:lineRule="auto"/>
        <w:ind w:left="600"/>
        <w:jc w:val="both"/>
        <w:rPr>
          <w:rFonts w:ascii="Arial" w:hAnsi="Arial" w:cs="Arial"/>
          <w:color w:val="000000"/>
          <w:kern w:val="0"/>
          <w:sz w:val="20"/>
          <w:szCs w:val="20"/>
        </w:rPr>
      </w:pPr>
    </w:p>
    <w:p w14:paraId="6DD43D3E" w14:textId="398824F9"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79CC7873" wp14:editId="440CC902">
            <wp:extent cx="127000" cy="127000"/>
            <wp:effectExtent l="0" t="0" r="0" b="0"/>
            <wp:docPr id="13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Método de contabilización</w:t>
      </w:r>
    </w:p>
    <w:p w14:paraId="2FB40649"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Las entradas y cesiones de títulos se contabilizan excluyendo los gastos. </w:t>
      </w:r>
    </w:p>
    <w:p w14:paraId="2861EF9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031793A"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La opción elegida para contabilizar el ingreso es la del ingreso cobrado.</w:t>
      </w:r>
    </w:p>
    <w:p w14:paraId="15048C33"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6A834A1B"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ingresos están constituidos por:</w:t>
      </w:r>
    </w:p>
    <w:p w14:paraId="49BED5E2" w14:textId="369F85B0"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3435BE54" wp14:editId="51BF6556">
            <wp:extent cx="127000" cy="127000"/>
            <wp:effectExtent l="0" t="0" r="0" b="0"/>
            <wp:docPr id="13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ingresos de los valores mobiliarios;</w:t>
      </w:r>
    </w:p>
    <w:p w14:paraId="39202468" w14:textId="2BA1049B"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0CD35B62" wp14:editId="4FF2AB43">
            <wp:extent cx="127000" cy="127000"/>
            <wp:effectExtent l="0" t="0" r="0" b="0"/>
            <wp:docPr id="13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dividendos e intereses cobrados al tipo de la divisa por los valores extranjeros;</w:t>
      </w:r>
    </w:p>
    <w:p w14:paraId="21217370" w14:textId="56C27907"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2365814A" wp14:editId="6C9622D0">
            <wp:extent cx="127000" cy="127000"/>
            <wp:effectExtent l="0" t="0" r="0" b="0"/>
            <wp:docPr id="13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la remuneración de la liquidez en divisas. los ingresos de préstamos y recompras de valores y otras inversiones.</w:t>
      </w:r>
    </w:p>
    <w:p w14:paraId="1B56585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A88EF54"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De estos ingresos se deducen:</w:t>
      </w:r>
    </w:p>
    <w:p w14:paraId="525259E8" w14:textId="6298B09E"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081DC0B0" wp14:editId="469F269A">
            <wp:extent cx="127000" cy="127000"/>
            <wp:effectExtent l="0" t="0" r="0" b="0"/>
            <wp:docPr id="1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gastos de gestión; y</w:t>
      </w:r>
    </w:p>
    <w:p w14:paraId="3C5004CE" w14:textId="336AA5ED" w:rsidR="00DC3D49" w:rsidRDefault="00C837FF">
      <w:pPr>
        <w:autoSpaceDE w:val="0"/>
        <w:autoSpaceDN w:val="0"/>
        <w:adjustRightInd w:val="0"/>
        <w:spacing w:after="0" w:line="240" w:lineRule="auto"/>
        <w:ind w:left="600"/>
        <w:jc w:val="both"/>
        <w:rPr>
          <w:rFonts w:ascii="Arial" w:hAnsi="Arial" w:cs="Arial"/>
          <w:color w:val="000000"/>
          <w:kern w:val="0"/>
          <w:sz w:val="20"/>
          <w:szCs w:val="20"/>
        </w:rPr>
      </w:pPr>
      <w:r>
        <w:rPr>
          <w:rFonts w:ascii="Arial" w:hAnsi="Arial"/>
          <w:noProof/>
          <w:color w:val="000000"/>
          <w:sz w:val="20"/>
        </w:rPr>
        <w:drawing>
          <wp:inline distT="0" distB="0" distL="0" distR="0" wp14:anchorId="7875DA61" wp14:editId="49C205F0">
            <wp:extent cx="127000" cy="127000"/>
            <wp:effectExtent l="0" t="0" r="0" b="0"/>
            <wp:docPr id="1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color w:val="000000"/>
          <w:sz w:val="20"/>
        </w:rPr>
        <w:t>los gastos financieros y las cargas sobre los préstamos de títulos y otras inversiones.</w:t>
      </w:r>
    </w:p>
    <w:p w14:paraId="64D51F6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5F22F169"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Importes comprometidos fuera de balance:</w:t>
      </w:r>
    </w:p>
    <w:p w14:paraId="5A94230F"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 xml:space="preserve"> </w:t>
      </w:r>
    </w:p>
    <w:p w14:paraId="0011CF18" w14:textId="77777777" w:rsidR="00DC3D49" w:rsidRDefault="00DC3D49">
      <w:pPr>
        <w:autoSpaceDE w:val="0"/>
        <w:autoSpaceDN w:val="0"/>
        <w:adjustRightInd w:val="0"/>
        <w:spacing w:after="0" w:line="240" w:lineRule="auto"/>
        <w:jc w:val="both"/>
        <w:rPr>
          <w:rFonts w:ascii="Arial" w:hAnsi="Arial" w:cs="Arial"/>
          <w:color w:val="000000"/>
          <w:kern w:val="0"/>
          <w:sz w:val="20"/>
          <w:szCs w:val="20"/>
        </w:rPr>
      </w:pPr>
      <w:r>
        <w:rPr>
          <w:rFonts w:ascii="Arial" w:hAnsi="Arial"/>
          <w:color w:val="000000"/>
          <w:sz w:val="20"/>
        </w:rPr>
        <w:t>Los contratos firmes a plazo se valoran por su valor de mercado, como importe comprometido ajeno al balance, al precio de compensación. Las operaciones condicionales a plazo se traducen en equivalente subyacente. Las permutas financieras de tipos de interés en el mercado extrabursátil se evalúan en función del importe nominal, aproximadamente, la diferencia de estimación correspondiente.</w:t>
      </w:r>
    </w:p>
    <w:p w14:paraId="46427AA0" w14:textId="6AFEF62A" w:rsidR="00DC3D49" w:rsidRDefault="00C837FF">
      <w:pPr>
        <w:autoSpaceDE w:val="0"/>
        <w:autoSpaceDN w:val="0"/>
        <w:adjustRightInd w:val="0"/>
        <w:spacing w:before="200" w:after="0" w:line="240" w:lineRule="auto"/>
        <w:ind w:left="300"/>
        <w:jc w:val="both"/>
        <w:rPr>
          <w:rFonts w:ascii="Arial" w:hAnsi="Arial" w:cs="Arial"/>
          <w:b/>
          <w:bCs/>
          <w:color w:val="000000"/>
          <w:kern w:val="0"/>
          <w:sz w:val="20"/>
          <w:szCs w:val="20"/>
        </w:rPr>
      </w:pPr>
      <w:r>
        <w:rPr>
          <w:rFonts w:ascii="Arial" w:hAnsi="Arial"/>
          <w:noProof/>
        </w:rPr>
        <w:drawing>
          <wp:inline distT="0" distB="0" distL="0" distR="0" wp14:anchorId="5C47AF27" wp14:editId="0B0F74C2">
            <wp:extent cx="127000" cy="127000"/>
            <wp:effectExtent l="0" t="0" r="0" b="0"/>
            <wp:docPr id="1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rFonts w:ascii="Arial" w:hAnsi="Arial"/>
          <w:b/>
          <w:color w:val="000000"/>
          <w:sz w:val="20"/>
        </w:rPr>
        <w:t>Cuenta de regularización de ingresos</w:t>
      </w:r>
    </w:p>
    <w:p w14:paraId="7F671AB9" w14:textId="77777777" w:rsidR="00DC3D49" w:rsidRDefault="00DC3D49">
      <w:pPr>
        <w:autoSpaceDE w:val="0"/>
        <w:autoSpaceDN w:val="0"/>
        <w:adjustRightInd w:val="0"/>
        <w:spacing w:after="0" w:line="240" w:lineRule="auto"/>
        <w:ind w:left="300"/>
        <w:jc w:val="both"/>
        <w:rPr>
          <w:rFonts w:ascii="Arial" w:hAnsi="Arial" w:cs="Arial"/>
          <w:b/>
          <w:bCs/>
          <w:color w:val="000000"/>
          <w:kern w:val="0"/>
          <w:sz w:val="20"/>
          <w:szCs w:val="20"/>
        </w:rPr>
      </w:pPr>
    </w:p>
    <w:p w14:paraId="3179277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Las cuentas de regularización de los ingresos respetan la igualdad de los partícipes en relación con los ingresos adquiridos independientemente de la fecha de suscripción o de reembolso.</w:t>
      </w:r>
    </w:p>
    <w:p w14:paraId="0FEAD3D3" w14:textId="77777777" w:rsidR="00DC3D49" w:rsidRDefault="00DC3D49">
      <w:pPr>
        <w:autoSpaceDE w:val="0"/>
        <w:autoSpaceDN w:val="0"/>
        <w:adjustRightInd w:val="0"/>
        <w:spacing w:before="200" w:after="0" w:line="240" w:lineRule="auto"/>
        <w:jc w:val="center"/>
        <w:rPr>
          <w:rFonts w:ascii="Arial" w:hAnsi="Arial" w:cs="Arial"/>
          <w:b/>
          <w:bCs/>
          <w:color w:val="000000"/>
          <w:kern w:val="0"/>
          <w:u w:val="single"/>
        </w:rPr>
      </w:pPr>
      <w:r>
        <w:rPr>
          <w:rFonts w:ascii="Arial" w:hAnsi="Arial"/>
          <w:b/>
          <w:color w:val="000000"/>
          <w:u w:val="single"/>
        </w:rPr>
        <w:t>VIII - REMUNERACIÓN</w:t>
      </w:r>
    </w:p>
    <w:p w14:paraId="3ECCFADA"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sociedad de gestión ha adoptado la política de remuneración del grupo Amundi, del que forma parte. </w:t>
      </w:r>
    </w:p>
    <w:p w14:paraId="58C055AF"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grupo Amundi ha establecido una política de remuneración adaptada a su organización y a sus actividades. Esta política tiene como objetivo supervisar las prácticas relativas a las diferentes remuneraciones de los empleados con poder de decisión, de control o de asunción de riesgos dentro del grupo.</w:t>
      </w:r>
    </w:p>
    <w:p w14:paraId="65A40844"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Esta política de remuneración se ha definido basándose en la estrategia económica, los objetivos, los valores e intereses del grupo, las sociedades gestoras que forman parte del grupo, los OICVM gestionados por dichas sociedades y en sus partícipes. El objetivo de esta política no es persuadir de la asunción de riesgos excesiva, en especial, si esto difiere del perfil de riesgo de los OICVM gestionados. </w:t>
      </w:r>
    </w:p>
    <w:p w14:paraId="60DE15E8"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Además, la sociedad de gestión ha establecido las medidas adecuadas para prevenir los conflictos de intereses.</w:t>
      </w:r>
    </w:p>
    <w:p w14:paraId="42FB5320"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El Consejo de Administración de Amundi, la sociedad principal del grupo Amundi, establece y supervisa la política de remuneración.</w:t>
      </w:r>
    </w:p>
    <w:p w14:paraId="3EB0D767" w14:textId="77777777" w:rsidR="00DC3D49" w:rsidRDefault="00DC3D49">
      <w:pPr>
        <w:autoSpaceDE w:val="0"/>
        <w:autoSpaceDN w:val="0"/>
        <w:adjustRightInd w:val="0"/>
        <w:spacing w:before="200" w:after="0" w:line="240" w:lineRule="auto"/>
        <w:jc w:val="both"/>
        <w:rPr>
          <w:rFonts w:ascii="Arial" w:hAnsi="Arial" w:cs="Arial"/>
          <w:color w:val="000000"/>
          <w:kern w:val="0"/>
          <w:sz w:val="20"/>
          <w:szCs w:val="20"/>
        </w:rPr>
      </w:pPr>
      <w:r>
        <w:rPr>
          <w:rFonts w:ascii="Arial" w:hAnsi="Arial"/>
          <w:color w:val="000000"/>
          <w:sz w:val="20"/>
        </w:rPr>
        <w:t xml:space="preserve">La política de remuneración está disponible en el sitio web amundi.com o de forma gratuita previa solicitud escrita a la Sociedad Gestora. </w:t>
      </w:r>
    </w:p>
    <w:p w14:paraId="21447006" w14:textId="5B8ED9C9" w:rsidR="00DC3D49" w:rsidRDefault="00DC3D49">
      <w:pPr>
        <w:pBdr>
          <w:top w:val="single" w:sz="8" w:space="5" w:color="000000"/>
          <w:left w:val="single" w:sz="8" w:space="5" w:color="000000"/>
          <w:bottom w:val="single" w:sz="8" w:space="5" w:color="000000"/>
          <w:right w:val="single" w:sz="8" w:space="5" w:color="000000"/>
        </w:pBdr>
        <w:autoSpaceDE w:val="0"/>
        <w:autoSpaceDN w:val="0"/>
        <w:adjustRightInd w:val="0"/>
        <w:spacing w:before="200" w:after="0" w:line="240" w:lineRule="auto"/>
        <w:jc w:val="both"/>
        <w:rPr>
          <w:rFonts w:ascii="Arial" w:hAnsi="Arial" w:cs="Arial"/>
          <w:color w:val="000000"/>
          <w:kern w:val="0"/>
          <w:sz w:val="22"/>
          <w:szCs w:val="22"/>
        </w:rPr>
      </w:pPr>
      <w:r>
        <w:rPr>
          <w:rFonts w:ascii="Arial" w:hAnsi="Arial"/>
          <w:b/>
          <w:color w:val="000000"/>
          <w:sz w:val="22"/>
        </w:rPr>
        <w:t>Fecha de actualización del folleto:</w:t>
      </w:r>
      <w:r>
        <w:rPr>
          <w:rFonts w:ascii="Arial" w:hAnsi="Arial"/>
          <w:color w:val="000000"/>
          <w:sz w:val="22"/>
        </w:rPr>
        <w:t xml:space="preserve"> 11 de septiembre de 2025</w:t>
      </w:r>
    </w:p>
    <w:sectPr w:rsidR="00DC3D49">
      <w:headerReference w:type="even" r:id="rId21"/>
      <w:headerReference w:type="default" r:id="rId22"/>
      <w:headerReference w:type="first" r:id="rId23"/>
      <w:pgSz w:w="11905" w:h="16837"/>
      <w:pgMar w:top="1000" w:right="1000" w:bottom="1000" w:left="1000" w:header="400" w:footer="40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05E4" w14:textId="77777777" w:rsidR="00DC3D49" w:rsidRDefault="00DC3D49">
      <w:pPr>
        <w:spacing w:after="0" w:line="240" w:lineRule="auto"/>
      </w:pPr>
      <w:r>
        <w:separator/>
      </w:r>
    </w:p>
  </w:endnote>
  <w:endnote w:type="continuationSeparator" w:id="0">
    <w:p w14:paraId="0F86130E" w14:textId="77777777" w:rsidR="00DC3D49" w:rsidRDefault="00DC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BFCC" w14:textId="77777777" w:rsidR="00DC3D49" w:rsidRDefault="00DC3D49">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563D" w14:textId="77777777" w:rsidR="00DC3D49" w:rsidRDefault="00DC3D49">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50159" w14:textId="77777777" w:rsidR="00DC3D49" w:rsidRDefault="00DC3D49">
    <w:pPr>
      <w:widowControl w:val="0"/>
      <w:autoSpaceDE w:val="0"/>
      <w:autoSpaceDN w:val="0"/>
      <w:adjustRightInd w:val="0"/>
      <w:spacing w:after="0" w:line="240" w:lineRule="auto"/>
      <w:jc w:val="center"/>
      <w:rPr>
        <w:rFonts w:ascii="Arial" w:hAnsi="Arial" w:cs="Arial"/>
        <w:kern w:val="0"/>
      </w:rPr>
    </w:pPr>
    <w:r>
      <w:rPr>
        <w:rFonts w:ascii="Arial" w:hAnsi="Arial"/>
      </w:rPr>
      <w:t xml:space="preserve"> </w:t>
    </w: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ascii="Arial" w:hAnsi="Arial" w:cs="Arial"/>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25FA" w14:textId="77777777" w:rsidR="00DC3D49" w:rsidRDefault="00DC3D49">
      <w:pPr>
        <w:spacing w:after="0" w:line="240" w:lineRule="auto"/>
      </w:pPr>
      <w:r>
        <w:separator/>
      </w:r>
    </w:p>
  </w:footnote>
  <w:footnote w:type="continuationSeparator" w:id="0">
    <w:p w14:paraId="2BC76E8E" w14:textId="77777777" w:rsidR="00DC3D49" w:rsidRDefault="00DC3D49">
      <w:pPr>
        <w:spacing w:after="0" w:line="240" w:lineRule="auto"/>
      </w:pPr>
      <w:r>
        <w:continuationSeparator/>
      </w:r>
    </w:p>
  </w:footnote>
  <w:footnote w:id="1">
    <w:p w14:paraId="3B42B46E" w14:textId="77777777" w:rsidR="00823C1A" w:rsidRDefault="00DC3D49">
      <w:pPr>
        <w:autoSpaceDE w:val="0"/>
        <w:autoSpaceDN w:val="0"/>
        <w:adjustRightInd w:val="0"/>
        <w:spacing w:after="0" w:line="240" w:lineRule="auto"/>
        <w:jc w:val="both"/>
      </w:pPr>
      <w:r>
        <w:rPr>
          <w:rStyle w:val="FootnoteReference"/>
        </w:rPr>
        <w:footnoteRef/>
      </w:r>
      <w:r>
        <w:rPr>
          <w:rFonts w:ascii="Arial" w:hAnsi="Arial"/>
          <w:color w:val="000000"/>
          <w:sz w:val="18"/>
        </w:rPr>
        <w:t>La expresión «contribuyente "persona estadounidense"», según el «Internal Revenue Code» estadounidense, designa a una persona física que sea ciudadano o residente estadounidense, una sociedad de personas o una sociedad creada en EE. UU. o en virtud de la ley federal estadounidense o de uno de los Estados federados de EE. UU., un «trust» si (i) un tribunal de los Estados Unidos tuviera, según la ley, el poder de dictar órdenes o sentencias relativas a la práctica totalidad de las cuestiones relativas a la administración del «trust» y si (ii) una o varias personas estadounidenses tienen derecho de control sobre todas las decisiones importantes del «trust», o sobre la sucesión de una persona fallecida que era ciudadano o residente en Estados Unidos.</w:t>
      </w:r>
    </w:p>
  </w:footnote>
  <w:footnote w:id="2">
    <w:p w14:paraId="0910A3ED" w14:textId="77777777" w:rsidR="00823C1A" w:rsidRDefault="00DC3D49">
      <w:pPr>
        <w:autoSpaceDE w:val="0"/>
        <w:autoSpaceDN w:val="0"/>
        <w:adjustRightInd w:val="0"/>
        <w:spacing w:after="0" w:line="240" w:lineRule="auto"/>
        <w:jc w:val="both"/>
      </w:pPr>
      <w:r>
        <w:rPr>
          <w:rStyle w:val="FootnoteReference"/>
        </w:rPr>
        <w:footnoteRef/>
      </w:r>
      <w:r>
        <w:rPr>
          <w:rFonts w:ascii="Arial" w:hAnsi="Arial"/>
          <w:color w:val="000000"/>
          <w:sz w:val="18"/>
        </w:rPr>
        <w:t>NPFFI, o FFI no participante, se refiere a la entidad financiera que se niega a cumplir con la FATCA, ya sea rechazando la firma de un contrato con el IRS o bien negándose a revelar la identidad de sus clientes o a presentar un informe ante las autoridades.</w:t>
      </w:r>
    </w:p>
  </w:footnote>
  <w:footnote w:id="3">
    <w:p w14:paraId="5E6D64E8" w14:textId="77777777" w:rsidR="00823C1A" w:rsidRDefault="00DC3D49">
      <w:pPr>
        <w:autoSpaceDE w:val="0"/>
        <w:autoSpaceDN w:val="0"/>
        <w:adjustRightInd w:val="0"/>
        <w:spacing w:after="0" w:line="240" w:lineRule="auto"/>
        <w:jc w:val="both"/>
      </w:pPr>
      <w:r>
        <w:rPr>
          <w:rStyle w:val="FootnoteReference"/>
        </w:rPr>
        <w:footnoteRef/>
      </w:r>
      <w:r>
        <w:rPr>
          <w:rFonts w:ascii="Arial" w:hAnsi="Arial"/>
          <w:color w:val="000000"/>
          <w:sz w:val="18"/>
        </w:rPr>
        <w:t>Este poder también se extiende a cualquier otra persona (i) que parece incumplir directa o indirectamente las leyes y normativas de cualquier país o autoridad gubernamental, o (ii) que podría, en opinión de la sociedad de gestión del Fondo, provocar efectos perjudiciales al Fondo que de otro modo no habría sufrido ni soportado.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DC3D49" w14:paraId="72FADD90" w14:textId="77777777">
      <w:tc>
        <w:tcPr>
          <w:tcW w:w="9600" w:type="dxa"/>
          <w:tcBorders>
            <w:top w:val="nil"/>
            <w:left w:val="nil"/>
            <w:bottom w:val="nil"/>
            <w:right w:val="nil"/>
          </w:tcBorders>
        </w:tcPr>
        <w:p w14:paraId="7C415F88" w14:textId="77777777" w:rsidR="00DC3D49" w:rsidRDefault="00DC3D49">
          <w:pPr>
            <w:spacing w:after="0" w:line="240" w:lineRule="auto"/>
            <w:rPr>
              <w:rFonts w:ascii="Arial" w:hAnsi="Arial" w:cs="Arial"/>
              <w:kern w:val="0"/>
              <w:sz w:val="16"/>
              <w:szCs w:val="16"/>
            </w:rPr>
          </w:pPr>
          <w:r>
            <w:rPr>
              <w:rFonts w:ascii="Arial" w:hAnsi="Arial"/>
              <w:sz w:val="16"/>
            </w:rPr>
            <w:t xml:space="preserve"> </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DC3D49" w14:paraId="0C85695A" w14:textId="77777777">
      <w:tc>
        <w:tcPr>
          <w:tcW w:w="9600" w:type="dxa"/>
          <w:tcBorders>
            <w:top w:val="nil"/>
            <w:left w:val="nil"/>
            <w:bottom w:val="nil"/>
            <w:right w:val="nil"/>
          </w:tcBorders>
        </w:tcPr>
        <w:p w14:paraId="76253594" w14:textId="77777777" w:rsidR="00DC3D49" w:rsidRDefault="00DC3D49">
          <w:pPr>
            <w:spacing w:after="0" w:line="240" w:lineRule="auto"/>
            <w:rPr>
              <w:rFonts w:ascii="Arial" w:hAnsi="Arial" w:cs="Arial"/>
              <w:kern w:val="0"/>
              <w:sz w:val="16"/>
              <w:szCs w:val="16"/>
            </w:rPr>
          </w:pPr>
          <w:r>
            <w:rPr>
              <w:rFonts w:ascii="Arial" w:hAnsi="Arial"/>
              <w:sz w:val="16"/>
            </w:rPr>
            <w:t xml:space="preserve"> </w:t>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6401"/>
      <w:tblW w:w="9600" w:type="dxa"/>
      <w:tblCellMar>
        <w:left w:w="0" w:type="dxa"/>
        <w:right w:w="0" w:type="dxa"/>
      </w:tblCellMar>
      <w:tblLook w:val="0000" w:firstRow="0" w:lastRow="0" w:firstColumn="0" w:lastColumn="0" w:noHBand="0" w:noVBand="0"/>
    </w:tblPr>
    <w:tblGrid>
      <w:gridCol w:w="9600"/>
    </w:tblGrid>
    <w:tr w:rsidR="00DC3D49" w14:paraId="7E823B93" w14:textId="77777777">
      <w:tc>
        <w:tcPr>
          <w:tcW w:w="9600" w:type="dxa"/>
          <w:tcBorders>
            <w:top w:val="nil"/>
            <w:left w:val="nil"/>
            <w:bottom w:val="nil"/>
            <w:right w:val="nil"/>
          </w:tcBorders>
        </w:tcPr>
        <w:p w14:paraId="10D60B75" w14:textId="77777777" w:rsidR="00DC3D49" w:rsidRDefault="00DC3D49">
          <w:pPr>
            <w:spacing w:after="0" w:line="240" w:lineRule="auto"/>
            <w:rPr>
              <w:rFonts w:ascii="Arial" w:hAnsi="Arial" w:cs="Arial"/>
              <w:color w:val="000000"/>
              <w:kern w:val="0"/>
              <w:sz w:val="16"/>
              <w:szCs w:val="16"/>
            </w:rPr>
          </w:pPr>
          <w:r>
            <w:rPr>
              <w:rFonts w:ascii="Arial" w:hAnsi="Arial"/>
              <w:color w:val="000000"/>
              <w:sz w:val="16"/>
            </w:rPr>
            <w:t xml:space="preserve"> </w:t>
          </w:r>
        </w:p>
      </w:tc>
    </w:tr>
  </w:tbl>
  <w:tbl>
    <w:tblPr>
      <w:tblpPr w:vertAnchor="page" w:horzAnchor="page" w:tblpX="196" w:tblpY="1"/>
      <w:tblW w:w="2648" w:type="dxa"/>
      <w:tblCellMar>
        <w:left w:w="0" w:type="dxa"/>
        <w:right w:w="0" w:type="dxa"/>
      </w:tblCellMar>
      <w:tblLook w:val="0000" w:firstRow="0" w:lastRow="0" w:firstColumn="0" w:lastColumn="0" w:noHBand="0" w:noVBand="0"/>
    </w:tblPr>
    <w:tblGrid>
      <w:gridCol w:w="2648"/>
    </w:tblGrid>
    <w:tr w:rsidR="00DC3D49" w14:paraId="2A187A3A" w14:textId="77777777">
      <w:tc>
        <w:tcPr>
          <w:tcW w:w="2648" w:type="dxa"/>
          <w:tcBorders>
            <w:top w:val="nil"/>
            <w:left w:val="nil"/>
            <w:bottom w:val="nil"/>
            <w:right w:val="nil"/>
          </w:tcBorders>
        </w:tcPr>
        <w:p w14:paraId="65347FD2" w14:textId="77777777" w:rsidR="00DC3D49" w:rsidRDefault="00DC3D49">
          <w:pPr>
            <w:spacing w:after="0" w:line="240" w:lineRule="auto"/>
            <w:rPr>
              <w:rFonts w:ascii="Arial" w:hAnsi="Arial" w:cs="Arial"/>
              <w:kern w:val="0"/>
            </w:rPr>
          </w:pP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DC3D49" w14:paraId="38D90AF8" w14:textId="77777777">
      <w:tc>
        <w:tcPr>
          <w:tcW w:w="9600" w:type="dxa"/>
          <w:tcBorders>
            <w:top w:val="nil"/>
            <w:left w:val="nil"/>
            <w:bottom w:val="nil"/>
            <w:right w:val="nil"/>
          </w:tcBorders>
        </w:tcPr>
        <w:p w14:paraId="468008A9" w14:textId="77777777" w:rsidR="00DC3D49" w:rsidRDefault="00DC3D49">
          <w:pPr>
            <w:spacing w:after="0" w:line="240" w:lineRule="auto"/>
            <w:rPr>
              <w:rFonts w:ascii="Arial" w:hAnsi="Arial" w:cs="Arial"/>
              <w:kern w:val="0"/>
              <w:sz w:val="16"/>
              <w:szCs w:val="16"/>
            </w:rPr>
          </w:pPr>
          <w:r>
            <w:rPr>
              <w:rFonts w:ascii="Arial" w:hAnsi="Arial"/>
              <w:sz w:val="16"/>
            </w:rPr>
            <w:t xml:space="preserve"> </w:t>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801" w:tblpY="16181"/>
      <w:tblW w:w="9600" w:type="dxa"/>
      <w:tblCellMar>
        <w:left w:w="0" w:type="dxa"/>
        <w:right w:w="0" w:type="dxa"/>
      </w:tblCellMar>
      <w:tblLook w:val="0000" w:firstRow="0" w:lastRow="0" w:firstColumn="0" w:lastColumn="0" w:noHBand="0" w:noVBand="0"/>
    </w:tblPr>
    <w:tblGrid>
      <w:gridCol w:w="9600"/>
    </w:tblGrid>
    <w:tr w:rsidR="00DC3D49" w14:paraId="179E99FF" w14:textId="77777777">
      <w:tc>
        <w:tcPr>
          <w:tcW w:w="9600" w:type="dxa"/>
          <w:tcBorders>
            <w:top w:val="nil"/>
            <w:left w:val="nil"/>
            <w:bottom w:val="nil"/>
            <w:right w:val="nil"/>
          </w:tcBorders>
        </w:tcPr>
        <w:p w14:paraId="3D08D9F6" w14:textId="77777777" w:rsidR="00DC3D49" w:rsidRDefault="00DC3D49">
          <w:pPr>
            <w:spacing w:after="0" w:line="240" w:lineRule="auto"/>
            <w:rPr>
              <w:rFonts w:ascii="Arial" w:hAnsi="Arial" w:cs="Arial"/>
              <w:kern w:val="0"/>
              <w:sz w:val="16"/>
              <w:szCs w:val="16"/>
            </w:rPr>
          </w:pPr>
          <w:r>
            <w:rPr>
              <w:rFonts w:ascii="Arial" w:hAnsi="Arial"/>
              <w:sz w:val="16"/>
            </w:rPr>
            <w:t xml:space="preserve"> </w:t>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6401"/>
      <w:tblW w:w="9600" w:type="dxa"/>
      <w:tblCellMar>
        <w:left w:w="0" w:type="dxa"/>
        <w:right w:w="0" w:type="dxa"/>
      </w:tblCellMar>
      <w:tblLook w:val="0000" w:firstRow="0" w:lastRow="0" w:firstColumn="0" w:lastColumn="0" w:noHBand="0" w:noVBand="0"/>
    </w:tblPr>
    <w:tblGrid>
      <w:gridCol w:w="9600"/>
    </w:tblGrid>
    <w:tr w:rsidR="00DC3D49" w14:paraId="145805F3" w14:textId="77777777">
      <w:tc>
        <w:tcPr>
          <w:tcW w:w="9600" w:type="dxa"/>
          <w:tcBorders>
            <w:top w:val="nil"/>
            <w:left w:val="nil"/>
            <w:bottom w:val="nil"/>
            <w:right w:val="nil"/>
          </w:tcBorders>
        </w:tcPr>
        <w:p w14:paraId="55FADF5E" w14:textId="77777777" w:rsidR="00DC3D49" w:rsidRDefault="00DC3D49">
          <w:pPr>
            <w:spacing w:after="0" w:line="240" w:lineRule="auto"/>
            <w:rPr>
              <w:rFonts w:ascii="Arial" w:hAnsi="Arial" w:cs="Arial"/>
              <w:kern w:val="0"/>
              <w:sz w:val="16"/>
              <w:szCs w:val="16"/>
            </w:rPr>
          </w:pPr>
          <w:r>
            <w:rPr>
              <w:rFonts w:ascii="Arial" w:hAnsi="Arial"/>
              <w:sz w:val="16"/>
            </w:rPr>
            <w:t xml:space="preserve"> </w:t>
          </w:r>
        </w:p>
      </w:tc>
    </w:tr>
  </w:tbl>
  <w:tbl>
    <w:tblPr>
      <w:tblpPr w:vertAnchor="page" w:horzAnchor="page" w:tblpX="196" w:tblpY="1"/>
      <w:tblW w:w="2648" w:type="dxa"/>
      <w:tblCellMar>
        <w:left w:w="0" w:type="dxa"/>
        <w:right w:w="0" w:type="dxa"/>
      </w:tblCellMar>
      <w:tblLook w:val="0000" w:firstRow="0" w:lastRow="0" w:firstColumn="0" w:lastColumn="0" w:noHBand="0" w:noVBand="0"/>
    </w:tblPr>
    <w:tblGrid>
      <w:gridCol w:w="2648"/>
    </w:tblGrid>
    <w:tr w:rsidR="00DC3D49" w14:paraId="74A0C4DA" w14:textId="77777777">
      <w:tc>
        <w:tcPr>
          <w:tcW w:w="2648" w:type="dxa"/>
          <w:tcBorders>
            <w:top w:val="nil"/>
            <w:left w:val="nil"/>
            <w:bottom w:val="nil"/>
            <w:right w:val="nil"/>
          </w:tcBorders>
        </w:tcPr>
        <w:p w14:paraId="0FE8E4DE" w14:textId="77777777" w:rsidR="00DC3D49" w:rsidRDefault="00DC3D49">
          <w:pPr>
            <w:spacing w:after="0" w:line="240" w:lineRule="auto"/>
            <w:rPr>
              <w:rFonts w:ascii="Arial" w:hAnsi="Arial" w:cs="Arial"/>
              <w:kern w:val="0"/>
            </w:rPr>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475"/>
    <w:multiLevelType w:val="hybridMultilevel"/>
    <w:tmpl w:val="BD109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F019B"/>
    <w:multiLevelType w:val="hybridMultilevel"/>
    <w:tmpl w:val="A080BAB6"/>
    <w:lvl w:ilvl="0" w:tplc="040C0003">
      <w:start w:val="1"/>
      <w:numFmt w:val="bullet"/>
      <w:lvlText w:val="o"/>
      <w:lvlJc w:val="left"/>
      <w:pPr>
        <w:ind w:left="1070" w:hanging="360"/>
      </w:pPr>
      <w:rPr>
        <w:rFonts w:ascii="Courier New" w:hAnsi="Courier New" w:cs="Courier New" w:hint="default"/>
      </w:rPr>
    </w:lvl>
    <w:lvl w:ilvl="1" w:tplc="040C0003" w:tentative="1">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33F8777A"/>
    <w:multiLevelType w:val="hybridMultilevel"/>
    <w:tmpl w:val="099631DA"/>
    <w:lvl w:ilvl="0" w:tplc="D5D4DC2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F0005E"/>
    <w:multiLevelType w:val="hybridMultilevel"/>
    <w:tmpl w:val="AC60528C"/>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4" w15:restartNumberingAfterBreak="0">
    <w:nsid w:val="5FFC1323"/>
    <w:multiLevelType w:val="hybridMultilevel"/>
    <w:tmpl w:val="D92C08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1891751"/>
    <w:multiLevelType w:val="hybridMultilevel"/>
    <w:tmpl w:val="69D8F5FC"/>
    <w:lvl w:ilvl="0" w:tplc="D5D4DC2C">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543A84"/>
    <w:multiLevelType w:val="hybridMultilevel"/>
    <w:tmpl w:val="BCA4901E"/>
    <w:lvl w:ilvl="0" w:tplc="533A303C">
      <w:numFmt w:val="bullet"/>
      <w:lvlText w:val="-"/>
      <w:lvlJc w:val="left"/>
      <w:pPr>
        <w:ind w:left="1120" w:hanging="360"/>
      </w:pPr>
      <w:rPr>
        <w:rFonts w:ascii="Calibri" w:eastAsiaTheme="minorHAnsi" w:hAnsi="Calibri" w:cs="Calibri" w:hint="default"/>
      </w:rPr>
    </w:lvl>
    <w:lvl w:ilvl="1" w:tplc="FFFFFFFF" w:tentative="1">
      <w:start w:val="1"/>
      <w:numFmt w:val="bullet"/>
      <w:lvlText w:val="o"/>
      <w:lvlJc w:val="left"/>
      <w:pPr>
        <w:ind w:left="1840" w:hanging="360"/>
      </w:pPr>
      <w:rPr>
        <w:rFonts w:ascii="Courier New" w:hAnsi="Courier New" w:cs="Courier New" w:hint="default"/>
      </w:rPr>
    </w:lvl>
    <w:lvl w:ilvl="2" w:tplc="FFFFFFFF" w:tentative="1">
      <w:start w:val="1"/>
      <w:numFmt w:val="bullet"/>
      <w:lvlText w:val=""/>
      <w:lvlJc w:val="left"/>
      <w:pPr>
        <w:ind w:left="2560" w:hanging="360"/>
      </w:pPr>
      <w:rPr>
        <w:rFonts w:ascii="Wingdings" w:hAnsi="Wingdings" w:hint="default"/>
      </w:rPr>
    </w:lvl>
    <w:lvl w:ilvl="3" w:tplc="FFFFFFFF" w:tentative="1">
      <w:start w:val="1"/>
      <w:numFmt w:val="bullet"/>
      <w:lvlText w:val=""/>
      <w:lvlJc w:val="left"/>
      <w:pPr>
        <w:ind w:left="3280" w:hanging="360"/>
      </w:pPr>
      <w:rPr>
        <w:rFonts w:ascii="Symbol" w:hAnsi="Symbol" w:hint="default"/>
      </w:rPr>
    </w:lvl>
    <w:lvl w:ilvl="4" w:tplc="FFFFFFFF" w:tentative="1">
      <w:start w:val="1"/>
      <w:numFmt w:val="bullet"/>
      <w:lvlText w:val="o"/>
      <w:lvlJc w:val="left"/>
      <w:pPr>
        <w:ind w:left="4000" w:hanging="360"/>
      </w:pPr>
      <w:rPr>
        <w:rFonts w:ascii="Courier New" w:hAnsi="Courier New" w:cs="Courier New" w:hint="default"/>
      </w:rPr>
    </w:lvl>
    <w:lvl w:ilvl="5" w:tplc="FFFFFFFF" w:tentative="1">
      <w:start w:val="1"/>
      <w:numFmt w:val="bullet"/>
      <w:lvlText w:val=""/>
      <w:lvlJc w:val="left"/>
      <w:pPr>
        <w:ind w:left="4720" w:hanging="360"/>
      </w:pPr>
      <w:rPr>
        <w:rFonts w:ascii="Wingdings" w:hAnsi="Wingdings" w:hint="default"/>
      </w:rPr>
    </w:lvl>
    <w:lvl w:ilvl="6" w:tplc="FFFFFFFF" w:tentative="1">
      <w:start w:val="1"/>
      <w:numFmt w:val="bullet"/>
      <w:lvlText w:val=""/>
      <w:lvlJc w:val="left"/>
      <w:pPr>
        <w:ind w:left="5440" w:hanging="360"/>
      </w:pPr>
      <w:rPr>
        <w:rFonts w:ascii="Symbol" w:hAnsi="Symbol" w:hint="default"/>
      </w:rPr>
    </w:lvl>
    <w:lvl w:ilvl="7" w:tplc="FFFFFFFF" w:tentative="1">
      <w:start w:val="1"/>
      <w:numFmt w:val="bullet"/>
      <w:lvlText w:val="o"/>
      <w:lvlJc w:val="left"/>
      <w:pPr>
        <w:ind w:left="6160" w:hanging="360"/>
      </w:pPr>
      <w:rPr>
        <w:rFonts w:ascii="Courier New" w:hAnsi="Courier New" w:cs="Courier New" w:hint="default"/>
      </w:rPr>
    </w:lvl>
    <w:lvl w:ilvl="8" w:tplc="FFFFFFFF" w:tentative="1">
      <w:start w:val="1"/>
      <w:numFmt w:val="bullet"/>
      <w:lvlText w:val=""/>
      <w:lvlJc w:val="left"/>
      <w:pPr>
        <w:ind w:left="6880" w:hanging="360"/>
      </w:pPr>
      <w:rPr>
        <w:rFonts w:ascii="Wingdings" w:hAnsi="Wingdings" w:hint="default"/>
      </w:rPr>
    </w:lvl>
  </w:abstractNum>
  <w:num w:numId="1" w16cid:durableId="929702601">
    <w:abstractNumId w:val="3"/>
  </w:num>
  <w:num w:numId="2" w16cid:durableId="228154179">
    <w:abstractNumId w:val="6"/>
  </w:num>
  <w:num w:numId="3" w16cid:durableId="1796219085">
    <w:abstractNumId w:val="0"/>
  </w:num>
  <w:num w:numId="4" w16cid:durableId="583077844">
    <w:abstractNumId w:val="4"/>
  </w:num>
  <w:num w:numId="5" w16cid:durableId="1469010661">
    <w:abstractNumId w:val="2"/>
  </w:num>
  <w:num w:numId="6" w16cid:durableId="949236831">
    <w:abstractNumId w:val="5"/>
  </w:num>
  <w:num w:numId="7" w16cid:durableId="47726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ED"/>
    <w:rsid w:val="000243B3"/>
    <w:rsid w:val="00034B9E"/>
    <w:rsid w:val="0013456F"/>
    <w:rsid w:val="0018688A"/>
    <w:rsid w:val="001A60BE"/>
    <w:rsid w:val="001B629D"/>
    <w:rsid w:val="001D46E3"/>
    <w:rsid w:val="00311428"/>
    <w:rsid w:val="00331D5C"/>
    <w:rsid w:val="00341D73"/>
    <w:rsid w:val="003676CD"/>
    <w:rsid w:val="004625A3"/>
    <w:rsid w:val="004A500C"/>
    <w:rsid w:val="004E1712"/>
    <w:rsid w:val="00594765"/>
    <w:rsid w:val="00597487"/>
    <w:rsid w:val="00812B04"/>
    <w:rsid w:val="00823C1A"/>
    <w:rsid w:val="00857814"/>
    <w:rsid w:val="008B30CB"/>
    <w:rsid w:val="00907C8D"/>
    <w:rsid w:val="009570F7"/>
    <w:rsid w:val="009C3754"/>
    <w:rsid w:val="00A714AF"/>
    <w:rsid w:val="00A9323A"/>
    <w:rsid w:val="00A962D8"/>
    <w:rsid w:val="00AB6A6B"/>
    <w:rsid w:val="00C12665"/>
    <w:rsid w:val="00C704ED"/>
    <w:rsid w:val="00C837FF"/>
    <w:rsid w:val="00DC3D49"/>
    <w:rsid w:val="00E74E69"/>
    <w:rsid w:val="00F82AD9"/>
    <w:rsid w:val="00FB0832"/>
    <w:rsid w:val="00FB1D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BFC331C"/>
  <w14:defaultImageDpi w14:val="0"/>
  <w15:docId w15:val="{79A49893-1838-48AC-9509-FB3CDF74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s-E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sid w:val="00AB6A6B"/>
    <w:rPr>
      <w:rFonts w:cs="Times New Roman"/>
      <w:vertAlign w:val="superscript"/>
    </w:rPr>
  </w:style>
  <w:style w:type="character" w:styleId="FootnoteReference">
    <w:name w:val="footnote reference"/>
    <w:basedOn w:val="DefaultParagraphFont"/>
    <w:uiPriority w:val="99"/>
    <w:semiHidden/>
    <w:unhideWhenUsed/>
    <w:rsid w:val="00AB6A6B"/>
    <w:rPr>
      <w:rFonts w:cs="Times New Roman"/>
      <w:vertAlign w:val="superscript"/>
    </w:rPr>
  </w:style>
  <w:style w:type="paragraph" w:styleId="Revision">
    <w:name w:val="Revision"/>
    <w:hidden/>
    <w:uiPriority w:val="99"/>
    <w:semiHidden/>
    <w:rsid w:val="00A714AF"/>
    <w:pPr>
      <w:spacing w:after="0" w:line="240" w:lineRule="auto"/>
    </w:pPr>
  </w:style>
  <w:style w:type="character" w:styleId="Hyperlink">
    <w:name w:val="Hyperlink"/>
    <w:basedOn w:val="DefaultParagraphFont"/>
    <w:uiPriority w:val="99"/>
    <w:unhideWhenUsed/>
    <w:rsid w:val="00A714AF"/>
    <w:rPr>
      <w:rFonts w:cs="Times New Roman"/>
      <w:color w:val="467886"/>
      <w:u w:val="single"/>
    </w:rPr>
  </w:style>
  <w:style w:type="paragraph" w:styleId="ListParagraph">
    <w:name w:val="List Paragraph"/>
    <w:basedOn w:val="Normal"/>
    <w:uiPriority w:val="34"/>
    <w:qFormat/>
    <w:rsid w:val="00A9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amundi.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euronex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13797</Words>
  <Characters>75199</Characters>
  <Application>Microsoft Office Word</Application>
  <DocSecurity>0</DocSecurity>
  <Lines>626</Lines>
  <Paragraphs>177</Paragraphs>
  <ScaleCrop>false</ScaleCrop>
  <Company/>
  <LinksUpToDate>false</LinksUpToDate>
  <CharactersWithSpaces>88819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Toukatli Tarek (AMUNDI)</dc:creator>
  <cp:keywords/>
  <dc:description/>
  <cp:lastModifiedBy>Ilaria Ratti</cp:lastModifiedBy>
  <cp:revision>15</cp:revision>
  <cp:lastPrinted>2025-01-17T16:43:00Z</cp:lastPrinted>
  <dcterms:created xsi:type="dcterms:W3CDTF">2025-01-09T16:47:00Z</dcterms:created>
  <dcterms:modified xsi:type="dcterms:W3CDTF">2025-09-18T15:49:00Z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ee938f-4a94-486a-a97b-b0ea29e4d686_Enabled">
    <vt:lpwstr>true</vt:lpwstr>
  </property>
  <property fmtid="{D5CDD505-2E9C-101B-9397-08002B2CF9AE}" pid="3" name="MSIP_Label_feee938f-4a94-486a-a97b-b0ea29e4d686_SetDate">
    <vt:lpwstr>2024-12-12T16:35:05Z</vt:lpwstr>
  </property>
  <property fmtid="{D5CDD505-2E9C-101B-9397-08002B2CF9AE}" pid="4" name="MSIP_Label_feee938f-4a94-486a-a97b-b0ea29e4d686_Method">
    <vt:lpwstr>Privileged</vt:lpwstr>
  </property>
  <property fmtid="{D5CDD505-2E9C-101B-9397-08002B2CF9AE}" pid="5" name="MSIP_Label_feee938f-4a94-486a-a97b-b0ea29e4d686_Name">
    <vt:lpwstr>C2</vt:lpwstr>
  </property>
  <property fmtid="{D5CDD505-2E9C-101B-9397-08002B2CF9AE}" pid="6" name="MSIP_Label_feee938f-4a94-486a-a97b-b0ea29e4d686_SiteId">
    <vt:lpwstr>a5c34232-eadc-4609-bff3-dd6fcdae3fe2</vt:lpwstr>
  </property>
  <property fmtid="{D5CDD505-2E9C-101B-9397-08002B2CF9AE}" pid="7" name="MSIP_Label_feee938f-4a94-486a-a97b-b0ea29e4d686_ActionId">
    <vt:lpwstr>dabe5bc2-4538-4c92-a5ca-b16aeb67821c</vt:lpwstr>
  </property>
  <property fmtid="{D5CDD505-2E9C-101B-9397-08002B2CF9AE}" pid="8" name="MSIP_Label_feee938f-4a94-486a-a97b-b0ea29e4d686_ContentBits">
    <vt:lpwstr>0</vt:lpwstr>
  </property>
</Properties>
</file>